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2C816A95" w14:textId="77777777" w:rsidTr="00491976">
        <w:trPr>
          <w:gridAfter w:val="1"/>
          <w:wAfter w:w="2551" w:type="dxa"/>
          <w:cantSplit/>
          <w:trHeight w:val="569"/>
        </w:trPr>
        <w:tc>
          <w:tcPr>
            <w:tcW w:w="4928" w:type="dxa"/>
            <w:shd w:val="clear" w:color="auto" w:fill="BFBFBF"/>
            <w:vAlign w:val="center"/>
          </w:tcPr>
          <w:p w14:paraId="2C816A93" w14:textId="77777777"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2C816D98" wp14:editId="2C816D99">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2C816A94" w14:textId="77777777" w:rsidR="00491976" w:rsidRPr="009E2B84" w:rsidRDefault="00491976" w:rsidP="00AC4A99">
            <w:pPr>
              <w:jc w:val="center"/>
              <w:rPr>
                <w:b/>
              </w:rPr>
            </w:pPr>
            <w:r w:rsidRPr="009E2B84">
              <w:rPr>
                <w:b/>
              </w:rPr>
              <w:t>ON</w:t>
            </w:r>
          </w:p>
        </w:tc>
      </w:tr>
      <w:tr w:rsidR="00491976" w:rsidRPr="009E2B84" w14:paraId="2C816A98" w14:textId="77777777" w:rsidTr="00491976">
        <w:trPr>
          <w:gridAfter w:val="1"/>
          <w:wAfter w:w="2551" w:type="dxa"/>
          <w:cantSplit/>
          <w:trHeight w:val="654"/>
        </w:trPr>
        <w:tc>
          <w:tcPr>
            <w:tcW w:w="4928" w:type="dxa"/>
            <w:tcBorders>
              <w:bottom w:val="nil"/>
            </w:tcBorders>
            <w:vAlign w:val="center"/>
          </w:tcPr>
          <w:p w14:paraId="2C816A96" w14:textId="77777777"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14:paraId="2C816A97" w14:textId="0D20725D" w:rsidR="00491976" w:rsidRPr="009E2B84" w:rsidRDefault="0021239B" w:rsidP="00491976">
            <w:pPr>
              <w:jc w:val="center"/>
              <w:rPr>
                <w:b/>
              </w:rPr>
            </w:pPr>
            <w:r>
              <w:rPr>
                <w:b/>
              </w:rPr>
              <w:t>2</w:t>
            </w:r>
            <w:r w:rsidR="006D1DB9">
              <w:rPr>
                <w:b/>
              </w:rPr>
              <w:t>0</w:t>
            </w:r>
            <w:bookmarkStart w:id="0" w:name="_GoBack"/>
            <w:bookmarkEnd w:id="0"/>
            <w:r w:rsidR="006D1DB9">
              <w:rPr>
                <w:b/>
              </w:rPr>
              <w:t xml:space="preserve"> March</w:t>
            </w:r>
            <w:r>
              <w:rPr>
                <w:b/>
              </w:rPr>
              <w:t xml:space="preserve"> 201</w:t>
            </w:r>
            <w:r w:rsidR="006D1DB9">
              <w:rPr>
                <w:b/>
              </w:rPr>
              <w:t>9</w:t>
            </w:r>
          </w:p>
        </w:tc>
      </w:tr>
      <w:tr w:rsidR="00491976" w:rsidRPr="009E2B84" w14:paraId="2C816A9A" w14:textId="77777777" w:rsidTr="00491976">
        <w:trPr>
          <w:gridAfter w:val="1"/>
          <w:wAfter w:w="2551" w:type="dxa"/>
          <w:cantSplit/>
          <w:trHeight w:val="560"/>
        </w:trPr>
        <w:tc>
          <w:tcPr>
            <w:tcW w:w="7338" w:type="dxa"/>
            <w:gridSpan w:val="2"/>
            <w:tcBorders>
              <w:left w:val="nil"/>
              <w:right w:val="nil"/>
            </w:tcBorders>
          </w:tcPr>
          <w:p w14:paraId="2C816A99" w14:textId="77777777" w:rsidR="00491976" w:rsidRPr="009E2B84" w:rsidRDefault="00491976" w:rsidP="00407A09">
            <w:pPr>
              <w:jc w:val="right"/>
              <w:rPr>
                <w:sz w:val="8"/>
              </w:rPr>
            </w:pPr>
          </w:p>
        </w:tc>
      </w:tr>
      <w:tr w:rsidR="00491976" w:rsidRPr="009E2B84" w14:paraId="2C816A9E" w14:textId="77777777" w:rsidTr="00491976">
        <w:trPr>
          <w:cantSplit/>
        </w:trPr>
        <w:tc>
          <w:tcPr>
            <w:tcW w:w="4928" w:type="dxa"/>
            <w:shd w:val="clear" w:color="auto" w:fill="BFBFBF"/>
            <w:vAlign w:val="center"/>
          </w:tcPr>
          <w:p w14:paraId="2C816A9B"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2C816A9C"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2C816A9D" w14:textId="77777777" w:rsidR="00491976" w:rsidRPr="009E2B84" w:rsidRDefault="00E51F90" w:rsidP="00AC4A99">
            <w:pPr>
              <w:jc w:val="center"/>
              <w:rPr>
                <w:b/>
              </w:rPr>
            </w:pPr>
            <w:r>
              <w:rPr>
                <w:b/>
              </w:rPr>
              <w:t>REP</w:t>
            </w:r>
            <w:r w:rsidR="00491976">
              <w:rPr>
                <w:b/>
              </w:rPr>
              <w:t>ORT OF</w:t>
            </w:r>
          </w:p>
        </w:tc>
      </w:tr>
      <w:tr w:rsidR="00491976" w:rsidRPr="009E2B84" w14:paraId="2C816AA6" w14:textId="77777777" w:rsidTr="00491976">
        <w:trPr>
          <w:cantSplit/>
          <w:trHeight w:val="667"/>
        </w:trPr>
        <w:tc>
          <w:tcPr>
            <w:tcW w:w="4928" w:type="dxa"/>
            <w:vAlign w:val="center"/>
          </w:tcPr>
          <w:p w14:paraId="2C816A9F" w14:textId="77777777" w:rsidR="00491976" w:rsidRPr="009E2B84" w:rsidRDefault="00491976" w:rsidP="00AC4A99">
            <w:pPr>
              <w:rPr>
                <w:b/>
              </w:rPr>
            </w:pPr>
          </w:p>
          <w:p w14:paraId="2C816AA0" w14:textId="77777777" w:rsidR="00491976" w:rsidRPr="00AF7179" w:rsidRDefault="00AF7179" w:rsidP="00AC4A99">
            <w:r w:rsidRPr="00AF7179">
              <w:t>A</w:t>
            </w:r>
            <w:r w:rsidR="006D1DB9">
              <w:t>ir Quality in South Ribble</w:t>
            </w:r>
          </w:p>
          <w:p w14:paraId="2C816AA1" w14:textId="77777777" w:rsidR="00491976" w:rsidRPr="009E2B84" w:rsidRDefault="00491976" w:rsidP="00AC4A99">
            <w:pPr>
              <w:rPr>
                <w:b/>
              </w:rPr>
            </w:pPr>
          </w:p>
        </w:tc>
        <w:tc>
          <w:tcPr>
            <w:tcW w:w="2410" w:type="dxa"/>
            <w:vAlign w:val="center"/>
          </w:tcPr>
          <w:p w14:paraId="2C816AA2" w14:textId="77777777" w:rsidR="0021239B" w:rsidRDefault="0021239B" w:rsidP="0021239B">
            <w:pPr>
              <w:jc w:val="center"/>
            </w:pPr>
          </w:p>
          <w:p w14:paraId="2C816AA3" w14:textId="77777777" w:rsidR="0021239B" w:rsidRPr="0021239B" w:rsidRDefault="0021239B" w:rsidP="0021239B">
            <w:pPr>
              <w:jc w:val="center"/>
            </w:pPr>
            <w:r w:rsidRPr="0021239B">
              <w:t xml:space="preserve">Public Health, Leisure and Wellbeing </w:t>
            </w:r>
          </w:p>
          <w:p w14:paraId="2C816AA4" w14:textId="77777777" w:rsidR="00491976" w:rsidRPr="0014052B" w:rsidRDefault="00491976" w:rsidP="00491976">
            <w:pPr>
              <w:jc w:val="center"/>
            </w:pPr>
          </w:p>
        </w:tc>
        <w:tc>
          <w:tcPr>
            <w:tcW w:w="2551" w:type="dxa"/>
            <w:vAlign w:val="center"/>
          </w:tcPr>
          <w:p w14:paraId="2C816AA5" w14:textId="77777777" w:rsidR="00491976" w:rsidRPr="00AF7179" w:rsidRDefault="00AF7179" w:rsidP="009E233A">
            <w:pPr>
              <w:jc w:val="center"/>
            </w:pPr>
            <w:r w:rsidRPr="00AF7179">
              <w:t>Director of Neighbourhoods &amp; Development</w:t>
            </w:r>
          </w:p>
        </w:tc>
      </w:tr>
    </w:tbl>
    <w:p w14:paraId="2C816AA7"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2C816AA9" w14:textId="77777777" w:rsidTr="00E50A9C">
        <w:tc>
          <w:tcPr>
            <w:tcW w:w="9918" w:type="dxa"/>
            <w:gridSpan w:val="2"/>
            <w:tcBorders>
              <w:top w:val="nil"/>
              <w:left w:val="nil"/>
              <w:right w:val="nil"/>
            </w:tcBorders>
            <w:shd w:val="clear" w:color="auto" w:fill="auto"/>
          </w:tcPr>
          <w:p w14:paraId="2C816AA8" w14:textId="77777777" w:rsidR="002F5C5E" w:rsidRPr="009C1143" w:rsidRDefault="002F5C5E" w:rsidP="00AC4A99">
            <w:pPr>
              <w:tabs>
                <w:tab w:val="left" w:pos="1055"/>
              </w:tabs>
              <w:rPr>
                <w:i/>
                <w:color w:val="2E74B5"/>
                <w:szCs w:val="22"/>
              </w:rPr>
            </w:pPr>
          </w:p>
        </w:tc>
      </w:tr>
      <w:tr w:rsidR="002F5C5E" w:rsidRPr="009C1143" w14:paraId="2C816AC0" w14:textId="77777777" w:rsidTr="00AC4A99">
        <w:tc>
          <w:tcPr>
            <w:tcW w:w="6652" w:type="dxa"/>
            <w:shd w:val="clear" w:color="auto" w:fill="auto"/>
          </w:tcPr>
          <w:p w14:paraId="2C816AAA"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2C816AAB" w14:textId="77777777" w:rsidR="002F5C5E" w:rsidRPr="009C1143" w:rsidRDefault="002F5C5E" w:rsidP="00AC4A99">
            <w:pPr>
              <w:rPr>
                <w:szCs w:val="22"/>
              </w:rPr>
            </w:pPr>
          </w:p>
          <w:p w14:paraId="2C816AAC"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2C816AAD" w14:textId="77777777" w:rsidR="002F5C5E" w:rsidRDefault="002F5C5E" w:rsidP="00AC4A99">
            <w:pPr>
              <w:rPr>
                <w:szCs w:val="22"/>
              </w:rPr>
            </w:pPr>
          </w:p>
          <w:p w14:paraId="2C816AAE" w14:textId="77777777" w:rsidR="00594D09" w:rsidRPr="009C1143" w:rsidRDefault="00594D09" w:rsidP="00AC4A99">
            <w:pPr>
              <w:rPr>
                <w:szCs w:val="22"/>
              </w:rPr>
            </w:pPr>
          </w:p>
          <w:p w14:paraId="2C816AAF"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2C816AB0" w14:textId="77777777" w:rsidR="002F5C5E" w:rsidRPr="00DE5E12" w:rsidRDefault="002F5C5E" w:rsidP="00AC4A99">
            <w:pPr>
              <w:rPr>
                <w:i/>
                <w:color w:val="0070C0"/>
                <w:szCs w:val="22"/>
              </w:rPr>
            </w:pPr>
          </w:p>
          <w:p w14:paraId="2C816AB1" w14:textId="77777777" w:rsidR="002F5C5E" w:rsidRDefault="002F5C5E" w:rsidP="00AC4A99">
            <w:pPr>
              <w:rPr>
                <w:szCs w:val="22"/>
              </w:rPr>
            </w:pPr>
          </w:p>
          <w:p w14:paraId="2C816AB2" w14:textId="77777777" w:rsidR="00E50A9C" w:rsidRDefault="00E50A9C" w:rsidP="00AC4A99">
            <w:pPr>
              <w:rPr>
                <w:szCs w:val="22"/>
              </w:rPr>
            </w:pPr>
            <w:r>
              <w:rPr>
                <w:szCs w:val="22"/>
              </w:rPr>
              <w:t>Is this report confidential?</w:t>
            </w:r>
          </w:p>
          <w:p w14:paraId="2C816AB3" w14:textId="77777777" w:rsidR="00BD2AFE" w:rsidRPr="009C1143" w:rsidRDefault="00BD2AFE" w:rsidP="00AF7179">
            <w:pPr>
              <w:rPr>
                <w:szCs w:val="22"/>
              </w:rPr>
            </w:pPr>
          </w:p>
        </w:tc>
        <w:tc>
          <w:tcPr>
            <w:tcW w:w="3266" w:type="dxa"/>
            <w:shd w:val="clear" w:color="auto" w:fill="auto"/>
          </w:tcPr>
          <w:p w14:paraId="2C816AB4" w14:textId="77777777" w:rsidR="002F5C5E" w:rsidRDefault="0021239B" w:rsidP="00AF7179">
            <w:pPr>
              <w:rPr>
                <w:b/>
                <w:szCs w:val="22"/>
              </w:rPr>
            </w:pPr>
            <w:r>
              <w:rPr>
                <w:b/>
                <w:szCs w:val="22"/>
              </w:rPr>
              <w:t xml:space="preserve">Yes </w:t>
            </w:r>
            <w:r w:rsidR="002F5C5E" w:rsidRPr="00F3057A">
              <w:rPr>
                <w:b/>
                <w:szCs w:val="22"/>
              </w:rPr>
              <w:t xml:space="preserve"> </w:t>
            </w:r>
          </w:p>
          <w:p w14:paraId="2C816AB5" w14:textId="77777777" w:rsidR="00AF7179" w:rsidRPr="009C1143" w:rsidRDefault="00AF7179" w:rsidP="00AF7179">
            <w:pPr>
              <w:rPr>
                <w:i/>
                <w:color w:val="0070C0"/>
                <w:szCs w:val="22"/>
              </w:rPr>
            </w:pPr>
          </w:p>
          <w:p w14:paraId="2C816AB6" w14:textId="77777777" w:rsidR="002F5C5E" w:rsidRPr="009C1143" w:rsidRDefault="002F5C5E" w:rsidP="00AC4A99">
            <w:pPr>
              <w:rPr>
                <w:szCs w:val="22"/>
              </w:rPr>
            </w:pPr>
          </w:p>
          <w:p w14:paraId="2C816AB7" w14:textId="77777777" w:rsidR="00594D09" w:rsidRDefault="006D1DB9" w:rsidP="00AF7179">
            <w:pPr>
              <w:rPr>
                <w:b/>
                <w:szCs w:val="22"/>
              </w:rPr>
            </w:pPr>
            <w:r>
              <w:rPr>
                <w:b/>
                <w:szCs w:val="22"/>
              </w:rPr>
              <w:t>No</w:t>
            </w:r>
            <w:r w:rsidR="00F44C89">
              <w:rPr>
                <w:b/>
                <w:szCs w:val="22"/>
              </w:rPr>
              <w:t xml:space="preserve"> </w:t>
            </w:r>
          </w:p>
          <w:p w14:paraId="2C816AB8" w14:textId="77777777" w:rsidR="00AF7179" w:rsidRPr="009C1143" w:rsidRDefault="00AF7179" w:rsidP="00AF7179">
            <w:pPr>
              <w:rPr>
                <w:i/>
                <w:color w:val="0070C0"/>
                <w:szCs w:val="22"/>
              </w:rPr>
            </w:pPr>
          </w:p>
          <w:p w14:paraId="2C816AB9" w14:textId="77777777" w:rsidR="002F5C5E" w:rsidRPr="00F3057A" w:rsidRDefault="002F5C5E" w:rsidP="00AC4A99">
            <w:pPr>
              <w:rPr>
                <w:b/>
                <w:szCs w:val="22"/>
              </w:rPr>
            </w:pPr>
          </w:p>
          <w:p w14:paraId="2C816ABA" w14:textId="77777777" w:rsidR="002F5C5E" w:rsidRDefault="002F5C5E" w:rsidP="00AC4A99">
            <w:pPr>
              <w:rPr>
                <w:b/>
                <w:szCs w:val="22"/>
              </w:rPr>
            </w:pPr>
            <w:r w:rsidRPr="00F3057A">
              <w:rPr>
                <w:b/>
                <w:szCs w:val="22"/>
              </w:rPr>
              <w:t>No</w:t>
            </w:r>
          </w:p>
          <w:p w14:paraId="2C816ABB" w14:textId="77777777" w:rsidR="00E50A9C" w:rsidRDefault="00E50A9C" w:rsidP="00AC4A99">
            <w:pPr>
              <w:rPr>
                <w:b/>
                <w:szCs w:val="22"/>
              </w:rPr>
            </w:pPr>
          </w:p>
          <w:p w14:paraId="2C816ABC" w14:textId="77777777" w:rsidR="00E50A9C" w:rsidRDefault="00E50A9C" w:rsidP="00AC4A99">
            <w:pPr>
              <w:rPr>
                <w:b/>
                <w:szCs w:val="22"/>
              </w:rPr>
            </w:pPr>
          </w:p>
          <w:p w14:paraId="2C816ABD" w14:textId="77777777" w:rsidR="00AF7179" w:rsidRDefault="00AF7179" w:rsidP="00AC4A99">
            <w:pPr>
              <w:rPr>
                <w:b/>
                <w:szCs w:val="22"/>
              </w:rPr>
            </w:pPr>
          </w:p>
          <w:p w14:paraId="2C816ABE" w14:textId="77777777" w:rsidR="00E50A9C" w:rsidRDefault="00E50A9C" w:rsidP="00AC4A99">
            <w:pPr>
              <w:rPr>
                <w:b/>
                <w:szCs w:val="22"/>
              </w:rPr>
            </w:pPr>
            <w:r>
              <w:rPr>
                <w:b/>
                <w:szCs w:val="22"/>
              </w:rPr>
              <w:t>No</w:t>
            </w:r>
          </w:p>
          <w:p w14:paraId="2C816ABF" w14:textId="77777777" w:rsidR="00594D09" w:rsidRPr="009C1143" w:rsidRDefault="00594D09" w:rsidP="00AF7179">
            <w:pPr>
              <w:rPr>
                <w:szCs w:val="22"/>
              </w:rPr>
            </w:pPr>
          </w:p>
        </w:tc>
      </w:tr>
    </w:tbl>
    <w:p w14:paraId="2C816AC1" w14:textId="77777777" w:rsidR="002F5C5E" w:rsidRPr="009C1143" w:rsidRDefault="002F5C5E" w:rsidP="002F5C5E">
      <w:pPr>
        <w:rPr>
          <w:color w:val="000000"/>
          <w:szCs w:val="22"/>
        </w:rPr>
      </w:pPr>
    </w:p>
    <w:p w14:paraId="2C816AC2" w14:textId="77777777" w:rsidR="008C04DA" w:rsidRDefault="00594D09" w:rsidP="00594D09">
      <w:pPr>
        <w:keepNext/>
        <w:outlineLvl w:val="0"/>
        <w:rPr>
          <w:b/>
          <w:szCs w:val="22"/>
        </w:rPr>
      </w:pPr>
      <w:r>
        <w:rPr>
          <w:b/>
          <w:szCs w:val="22"/>
        </w:rPr>
        <w:t>1.</w:t>
      </w:r>
      <w:r>
        <w:rPr>
          <w:b/>
          <w:szCs w:val="22"/>
        </w:rPr>
        <w:tab/>
      </w:r>
      <w:r w:rsidR="002F5C5E" w:rsidRPr="009C1143">
        <w:rPr>
          <w:b/>
          <w:szCs w:val="22"/>
        </w:rPr>
        <w:t xml:space="preserve">PURPOSE OF THE REPORT </w:t>
      </w:r>
    </w:p>
    <w:p w14:paraId="2C816AC3" w14:textId="77777777" w:rsidR="007A0801" w:rsidRDefault="007A0801" w:rsidP="00594D09">
      <w:pPr>
        <w:keepNext/>
        <w:outlineLvl w:val="0"/>
        <w:rPr>
          <w:b/>
          <w:szCs w:val="22"/>
        </w:rPr>
      </w:pPr>
    </w:p>
    <w:p w14:paraId="2C816AC4" w14:textId="77777777" w:rsidR="002F5C5E" w:rsidRPr="0021239B" w:rsidRDefault="0021239B" w:rsidP="0021239B">
      <w:pPr>
        <w:pStyle w:val="ListParagraph"/>
        <w:numPr>
          <w:ilvl w:val="1"/>
          <w:numId w:val="8"/>
        </w:numPr>
        <w:rPr>
          <w:rFonts w:ascii="Arial" w:eastAsia="Times New Roman" w:hAnsi="Arial"/>
          <w:lang w:eastAsia="en-GB"/>
        </w:rPr>
      </w:pPr>
      <w:r w:rsidRPr="0021239B">
        <w:rPr>
          <w:rFonts w:ascii="Arial" w:eastAsia="Times New Roman" w:hAnsi="Arial"/>
          <w:lang w:eastAsia="en-GB"/>
        </w:rPr>
        <w:t>T</w:t>
      </w:r>
      <w:r w:rsidR="00AC10B6">
        <w:rPr>
          <w:rFonts w:ascii="Arial" w:eastAsia="Times New Roman" w:hAnsi="Arial"/>
          <w:lang w:eastAsia="en-GB"/>
        </w:rPr>
        <w:t xml:space="preserve">he report informs members </w:t>
      </w:r>
      <w:r w:rsidR="00D61722">
        <w:rPr>
          <w:rFonts w:ascii="Arial" w:eastAsia="Times New Roman" w:hAnsi="Arial"/>
          <w:lang w:eastAsia="en-GB"/>
        </w:rPr>
        <w:t>of the Air Quality in South Ribble and the actions that have been taken to improve the Air Quali</w:t>
      </w:r>
      <w:r w:rsidR="007668A4">
        <w:rPr>
          <w:rFonts w:ascii="Arial" w:eastAsia="Times New Roman" w:hAnsi="Arial"/>
          <w:lang w:eastAsia="en-GB"/>
        </w:rPr>
        <w:t>ty and the further work currently being undertaken</w:t>
      </w:r>
      <w:r w:rsidR="00C72111">
        <w:rPr>
          <w:rFonts w:ascii="Arial" w:eastAsia="Times New Roman" w:hAnsi="Arial"/>
          <w:lang w:eastAsia="en-GB"/>
        </w:rPr>
        <w:t>.</w:t>
      </w:r>
    </w:p>
    <w:p w14:paraId="2C816AC5" w14:textId="77777777" w:rsidR="002F5C5E" w:rsidRPr="009C1143" w:rsidRDefault="002F5C5E" w:rsidP="002F5C5E">
      <w:pPr>
        <w:rPr>
          <w:szCs w:val="22"/>
        </w:rPr>
      </w:pPr>
    </w:p>
    <w:p w14:paraId="2C816AC6" w14:textId="77777777" w:rsidR="002F5C5E" w:rsidRDefault="00491976" w:rsidP="0065176C">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14:paraId="2C816AC7" w14:textId="77777777" w:rsidR="007A0801" w:rsidRPr="003F0D9C" w:rsidRDefault="007A0801" w:rsidP="007A0801">
      <w:pPr>
        <w:keepNext/>
        <w:ind w:left="567"/>
        <w:outlineLvl w:val="0"/>
        <w:rPr>
          <w:b/>
          <w:szCs w:val="22"/>
        </w:rPr>
      </w:pPr>
    </w:p>
    <w:p w14:paraId="2C816AC8" w14:textId="77777777" w:rsidR="002F5C5E" w:rsidRPr="003F0D9C" w:rsidRDefault="00AC10B6" w:rsidP="005C5BA2">
      <w:pPr>
        <w:pStyle w:val="ListParagraph"/>
        <w:numPr>
          <w:ilvl w:val="1"/>
          <w:numId w:val="8"/>
        </w:numPr>
        <w:rPr>
          <w:color w:val="2E74B5" w:themeColor="accent1" w:themeShade="BF"/>
        </w:rPr>
      </w:pPr>
      <w:r w:rsidRPr="003F0D9C">
        <w:rPr>
          <w:rFonts w:ascii="Arial" w:eastAsia="Times New Roman" w:hAnsi="Arial"/>
          <w:lang w:eastAsia="en-GB"/>
        </w:rPr>
        <w:t xml:space="preserve">Cabinet to receive this report for information and </w:t>
      </w:r>
      <w:r w:rsidR="003F0D9C" w:rsidRPr="003F0D9C">
        <w:rPr>
          <w:rFonts w:ascii="Arial" w:eastAsia="Times New Roman" w:hAnsi="Arial"/>
          <w:lang w:eastAsia="en-GB"/>
        </w:rPr>
        <w:t xml:space="preserve">to note the improving performance of air quality levels and the extensive air quality action plan which is in place as a programme of action moving forwards.  </w:t>
      </w:r>
    </w:p>
    <w:p w14:paraId="2C816AC9" w14:textId="77777777" w:rsidR="00BD2AFE" w:rsidRDefault="00CC4337" w:rsidP="00CC4337">
      <w:pPr>
        <w:numPr>
          <w:ilvl w:val="0"/>
          <w:numId w:val="8"/>
        </w:numPr>
        <w:ind w:left="567" w:hanging="567"/>
        <w:rPr>
          <w:b/>
          <w:color w:val="000000"/>
          <w:szCs w:val="22"/>
        </w:rPr>
      </w:pPr>
      <w:r w:rsidRPr="00F148A9">
        <w:rPr>
          <w:b/>
          <w:color w:val="000000"/>
          <w:szCs w:val="22"/>
        </w:rPr>
        <w:t>REASONS FOR THE DECISION</w:t>
      </w:r>
    </w:p>
    <w:p w14:paraId="2C816ACA" w14:textId="77777777" w:rsidR="00F61B34" w:rsidRPr="00F148A9" w:rsidRDefault="00F61B34" w:rsidP="00F61B34">
      <w:pPr>
        <w:ind w:left="567"/>
        <w:rPr>
          <w:b/>
          <w:color w:val="000000"/>
          <w:szCs w:val="22"/>
        </w:rPr>
      </w:pPr>
    </w:p>
    <w:p w14:paraId="2C816ACB" w14:textId="77777777" w:rsidR="00BF7AD9" w:rsidRDefault="00BF7AD9" w:rsidP="00BF7AD9">
      <w:pPr>
        <w:pStyle w:val="ListParagraph"/>
        <w:numPr>
          <w:ilvl w:val="1"/>
          <w:numId w:val="8"/>
        </w:numPr>
        <w:jc w:val="both"/>
        <w:rPr>
          <w:rFonts w:ascii="Arial" w:hAnsi="Arial" w:cs="Arial"/>
        </w:rPr>
      </w:pPr>
      <w:r w:rsidRPr="00BF7AD9">
        <w:rPr>
          <w:rFonts w:ascii="Arial" w:hAnsi="Arial" w:cs="Arial"/>
        </w:rPr>
        <w:t>The reason for the report is to provide Cabinet with</w:t>
      </w:r>
      <w:r>
        <w:rPr>
          <w:rFonts w:ascii="Arial" w:hAnsi="Arial" w:cs="Arial"/>
        </w:rPr>
        <w:t xml:space="preserve"> an update on the Air Quality monitoring undertaken in South Ribble </w:t>
      </w:r>
      <w:r w:rsidR="00FE20F7">
        <w:rPr>
          <w:rFonts w:ascii="Arial" w:hAnsi="Arial" w:cs="Arial"/>
        </w:rPr>
        <w:t>including the actions that have been taken to improve the Air Quali</w:t>
      </w:r>
      <w:r w:rsidR="007668A4">
        <w:rPr>
          <w:rFonts w:ascii="Arial" w:hAnsi="Arial" w:cs="Arial"/>
        </w:rPr>
        <w:t xml:space="preserve">ty and the further work currently being </w:t>
      </w:r>
      <w:r w:rsidR="006A277E">
        <w:rPr>
          <w:rFonts w:ascii="Arial" w:hAnsi="Arial" w:cs="Arial"/>
        </w:rPr>
        <w:t>undertaken.</w:t>
      </w:r>
    </w:p>
    <w:p w14:paraId="2C816ACC" w14:textId="77777777" w:rsidR="00BF7AD9" w:rsidRDefault="00BF7AD9" w:rsidP="00BF7AD9">
      <w:pPr>
        <w:pStyle w:val="ListParagraph"/>
        <w:jc w:val="both"/>
        <w:rPr>
          <w:rFonts w:ascii="Arial" w:hAnsi="Arial" w:cs="Arial"/>
        </w:rPr>
      </w:pPr>
    </w:p>
    <w:p w14:paraId="2C816ACD" w14:textId="77777777" w:rsidR="003F31FF" w:rsidRDefault="003F31FF" w:rsidP="003F31FF">
      <w:pPr>
        <w:pStyle w:val="ListParagraph"/>
        <w:numPr>
          <w:ilvl w:val="1"/>
          <w:numId w:val="8"/>
        </w:numPr>
        <w:jc w:val="both"/>
        <w:rPr>
          <w:rFonts w:ascii="Arial" w:hAnsi="Arial" w:cs="Arial"/>
        </w:rPr>
      </w:pPr>
      <w:r w:rsidRPr="003F31FF">
        <w:rPr>
          <w:rFonts w:ascii="Arial" w:hAnsi="Arial" w:cs="Arial"/>
        </w:rPr>
        <w:t xml:space="preserve">Health and Wellbeing is a major priority within the Council’s Corporate Plan. We want to promote our health and wellbeing objectives by developing high quality community open spaces, connected across the borough which supports residents in adopting healthier and more active lifestyles. </w:t>
      </w:r>
    </w:p>
    <w:p w14:paraId="2C816ACE" w14:textId="77777777" w:rsidR="003F31FF" w:rsidRDefault="003F31FF" w:rsidP="003F31FF">
      <w:pPr>
        <w:pStyle w:val="ListParagraph"/>
        <w:jc w:val="both"/>
        <w:rPr>
          <w:rFonts w:ascii="Arial" w:hAnsi="Arial" w:cs="Arial"/>
        </w:rPr>
      </w:pPr>
    </w:p>
    <w:p w14:paraId="2C816ACF" w14:textId="77777777" w:rsidR="003F31FF" w:rsidRDefault="00F61B34" w:rsidP="003F31FF">
      <w:pPr>
        <w:pStyle w:val="ListParagraph"/>
        <w:numPr>
          <w:ilvl w:val="1"/>
          <w:numId w:val="8"/>
        </w:numPr>
        <w:jc w:val="both"/>
        <w:rPr>
          <w:rFonts w:ascii="Arial" w:hAnsi="Arial" w:cs="Arial"/>
        </w:rPr>
      </w:pPr>
      <w:r>
        <w:rPr>
          <w:rFonts w:ascii="Arial" w:hAnsi="Arial" w:cs="Arial"/>
        </w:rPr>
        <w:t xml:space="preserve">Air Quality represents </w:t>
      </w:r>
      <w:r w:rsidR="003F31FF">
        <w:rPr>
          <w:rFonts w:ascii="Arial" w:hAnsi="Arial" w:cs="Arial"/>
        </w:rPr>
        <w:t xml:space="preserve">one of </w:t>
      </w:r>
      <w:r>
        <w:rPr>
          <w:rFonts w:ascii="Arial" w:hAnsi="Arial" w:cs="Arial"/>
        </w:rPr>
        <w:t xml:space="preserve">the largest </w:t>
      </w:r>
      <w:r w:rsidR="003F31FF">
        <w:rPr>
          <w:rFonts w:ascii="Arial" w:hAnsi="Arial" w:cs="Arial"/>
        </w:rPr>
        <w:t xml:space="preserve">concerns to our residents and </w:t>
      </w:r>
      <w:r w:rsidR="006F56CC">
        <w:rPr>
          <w:rFonts w:ascii="Arial" w:hAnsi="Arial" w:cs="Arial"/>
        </w:rPr>
        <w:t xml:space="preserve">in </w:t>
      </w:r>
      <w:r w:rsidR="003F31FF">
        <w:rPr>
          <w:rFonts w:ascii="Arial" w:hAnsi="Arial" w:cs="Arial"/>
        </w:rPr>
        <w:t>t</w:t>
      </w:r>
      <w:r w:rsidR="003F31FF" w:rsidRPr="003F31FF">
        <w:rPr>
          <w:rFonts w:ascii="Arial" w:hAnsi="Arial" w:cs="Arial"/>
        </w:rPr>
        <w:t>he most recent South</w:t>
      </w:r>
      <w:r w:rsidR="006F56CC">
        <w:rPr>
          <w:rFonts w:ascii="Arial" w:hAnsi="Arial" w:cs="Arial"/>
        </w:rPr>
        <w:t xml:space="preserve"> Ribble Partnership Survey </w:t>
      </w:r>
      <w:r w:rsidR="003F31FF" w:rsidRPr="003F31FF">
        <w:rPr>
          <w:rFonts w:ascii="Arial" w:hAnsi="Arial" w:cs="Arial"/>
        </w:rPr>
        <w:t xml:space="preserve">residents identified </w:t>
      </w:r>
      <w:r w:rsidR="003F31FF">
        <w:rPr>
          <w:rFonts w:ascii="Arial" w:hAnsi="Arial" w:cs="Arial"/>
        </w:rPr>
        <w:t xml:space="preserve">air quality as an area for improvement. </w:t>
      </w:r>
    </w:p>
    <w:p w14:paraId="2C816AD0" w14:textId="77777777" w:rsidR="00BF7AD9" w:rsidRDefault="00BF7AD9" w:rsidP="00BF7AD9">
      <w:pPr>
        <w:pStyle w:val="ListParagraph"/>
        <w:jc w:val="both"/>
        <w:rPr>
          <w:rFonts w:ascii="Arial" w:hAnsi="Arial" w:cs="Arial"/>
        </w:rPr>
      </w:pPr>
    </w:p>
    <w:p w14:paraId="2C816AD1" w14:textId="77777777" w:rsidR="00BF7AD9" w:rsidRDefault="00BF7AD9" w:rsidP="00BF7AD9">
      <w:pPr>
        <w:pStyle w:val="ListParagraph"/>
        <w:numPr>
          <w:ilvl w:val="1"/>
          <w:numId w:val="8"/>
        </w:numPr>
        <w:rPr>
          <w:rFonts w:ascii="Arial" w:hAnsi="Arial" w:cs="Arial"/>
        </w:rPr>
      </w:pPr>
      <w:r>
        <w:rPr>
          <w:rFonts w:ascii="Arial" w:hAnsi="Arial" w:cs="Arial"/>
        </w:rPr>
        <w:t xml:space="preserve"> </w:t>
      </w:r>
      <w:r w:rsidRPr="00BF7AD9">
        <w:rPr>
          <w:rFonts w:ascii="Arial" w:hAnsi="Arial" w:cs="Arial"/>
        </w:rPr>
        <w:t xml:space="preserve">An extensive programme of </w:t>
      </w:r>
      <w:r>
        <w:rPr>
          <w:rFonts w:ascii="Arial" w:hAnsi="Arial" w:cs="Arial"/>
        </w:rPr>
        <w:t>consultation has been started</w:t>
      </w:r>
      <w:r w:rsidRPr="00BF7AD9">
        <w:rPr>
          <w:rFonts w:ascii="Arial" w:hAnsi="Arial" w:cs="Arial"/>
        </w:rPr>
        <w:t xml:space="preserve"> with residents </w:t>
      </w:r>
      <w:r>
        <w:rPr>
          <w:rFonts w:ascii="Arial" w:hAnsi="Arial" w:cs="Arial"/>
        </w:rPr>
        <w:t xml:space="preserve">on our Green Links programme and planning for real events. </w:t>
      </w:r>
      <w:r w:rsidRPr="00BF7AD9">
        <w:rPr>
          <w:rFonts w:ascii="Arial" w:hAnsi="Arial" w:cs="Arial"/>
        </w:rPr>
        <w:t>There has been a high level of engagement and involvement from res</w:t>
      </w:r>
      <w:r>
        <w:rPr>
          <w:rFonts w:ascii="Arial" w:hAnsi="Arial" w:cs="Arial"/>
        </w:rPr>
        <w:t xml:space="preserve">idents and the feedback received at those events show that air quality is an area that concerns </w:t>
      </w:r>
      <w:r w:rsidR="003F0D9C">
        <w:rPr>
          <w:rFonts w:ascii="Arial" w:hAnsi="Arial" w:cs="Arial"/>
        </w:rPr>
        <w:t>residents</w:t>
      </w:r>
      <w:r>
        <w:rPr>
          <w:rFonts w:ascii="Arial" w:hAnsi="Arial" w:cs="Arial"/>
        </w:rPr>
        <w:t>.</w:t>
      </w:r>
    </w:p>
    <w:p w14:paraId="2C816AD2" w14:textId="77777777" w:rsidR="00BF7AD9" w:rsidRPr="00BF7AD9" w:rsidRDefault="00BF7AD9" w:rsidP="00BF7AD9">
      <w:pPr>
        <w:pStyle w:val="ListParagraph"/>
        <w:rPr>
          <w:rFonts w:ascii="Arial" w:hAnsi="Arial" w:cs="Arial"/>
        </w:rPr>
      </w:pPr>
    </w:p>
    <w:p w14:paraId="2C816AD3" w14:textId="77777777" w:rsidR="002F5C5E" w:rsidRPr="00CC4337" w:rsidRDefault="002F5C5E" w:rsidP="002F5C5E">
      <w:pPr>
        <w:rPr>
          <w:szCs w:val="22"/>
        </w:rPr>
      </w:pPr>
    </w:p>
    <w:p w14:paraId="2C816AD4" w14:textId="77777777" w:rsidR="008C04DA" w:rsidRDefault="008C04DA" w:rsidP="0065176C">
      <w:pPr>
        <w:keepNext/>
        <w:numPr>
          <w:ilvl w:val="0"/>
          <w:numId w:val="8"/>
        </w:numPr>
        <w:ind w:left="567" w:hanging="567"/>
        <w:outlineLvl w:val="0"/>
        <w:rPr>
          <w:b/>
          <w:szCs w:val="22"/>
        </w:rPr>
      </w:pPr>
      <w:r w:rsidRPr="008C04DA">
        <w:rPr>
          <w:b/>
          <w:szCs w:val="22"/>
        </w:rPr>
        <w:t>CORPORATE PRIORITIES</w:t>
      </w:r>
    </w:p>
    <w:p w14:paraId="2C816AD5" w14:textId="77777777" w:rsidR="00911FD5" w:rsidRDefault="00911FD5" w:rsidP="00911FD5">
      <w:pPr>
        <w:keepNext/>
        <w:ind w:left="567"/>
        <w:outlineLvl w:val="0"/>
        <w:rPr>
          <w:b/>
          <w:szCs w:val="22"/>
        </w:rPr>
      </w:pPr>
    </w:p>
    <w:p w14:paraId="2C816AD6" w14:textId="77777777" w:rsidR="008C04DA" w:rsidRDefault="00F148A9" w:rsidP="00911FD5">
      <w:pPr>
        <w:keepNext/>
        <w:outlineLvl w:val="0"/>
        <w:rPr>
          <w:i/>
          <w:color w:val="2E74B5"/>
          <w:szCs w:val="22"/>
        </w:rPr>
      </w:pPr>
      <w:r>
        <w:rPr>
          <w:szCs w:val="22"/>
        </w:rPr>
        <w:t>4</w:t>
      </w:r>
      <w:r w:rsidR="00911FD5">
        <w:rPr>
          <w:szCs w:val="22"/>
        </w:rPr>
        <w:t>.1</w:t>
      </w:r>
      <w:r w:rsidR="00911FD5">
        <w:rPr>
          <w:szCs w:val="22"/>
        </w:rPr>
        <w:tab/>
      </w:r>
      <w:r w:rsidR="008C04DA" w:rsidRPr="008C04DA">
        <w:rPr>
          <w:szCs w:val="22"/>
        </w:rPr>
        <w:t>The report relates to the following corporate priorities</w:t>
      </w:r>
      <w:r w:rsidR="00970C70">
        <w:rPr>
          <w:szCs w:val="22"/>
        </w:rPr>
        <w:t>:</w:t>
      </w:r>
      <w:r w:rsidR="008C04DA" w:rsidRPr="008C04DA">
        <w:rPr>
          <w:b/>
          <w:szCs w:val="22"/>
        </w:rPr>
        <w:t xml:space="preserve"> </w:t>
      </w:r>
    </w:p>
    <w:p w14:paraId="2C816AD7" w14:textId="77777777"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14:paraId="2C816ADB" w14:textId="77777777" w:rsidTr="000E5A3B">
        <w:tc>
          <w:tcPr>
            <w:tcW w:w="4423" w:type="dxa"/>
            <w:shd w:val="clear" w:color="auto" w:fill="auto"/>
          </w:tcPr>
          <w:p w14:paraId="2C816AD8" w14:textId="77777777" w:rsidR="000E5A3B" w:rsidRPr="000828CC" w:rsidRDefault="000E5A3B" w:rsidP="00A975A7">
            <w:pPr>
              <w:rPr>
                <w:szCs w:val="22"/>
              </w:rPr>
            </w:pPr>
            <w:r w:rsidRPr="000828CC">
              <w:rPr>
                <w:szCs w:val="22"/>
              </w:rPr>
              <w:t>Excellence and Financial Sustainability</w:t>
            </w:r>
          </w:p>
          <w:p w14:paraId="2C816AD9" w14:textId="77777777" w:rsidR="000E5A3B" w:rsidRPr="000828CC" w:rsidRDefault="000E5A3B" w:rsidP="00A975A7">
            <w:pPr>
              <w:rPr>
                <w:szCs w:val="22"/>
              </w:rPr>
            </w:pPr>
          </w:p>
        </w:tc>
        <w:tc>
          <w:tcPr>
            <w:tcW w:w="850" w:type="dxa"/>
            <w:shd w:val="clear" w:color="auto" w:fill="auto"/>
          </w:tcPr>
          <w:p w14:paraId="2C816ADA" w14:textId="77777777" w:rsidR="000E5A3B" w:rsidRPr="008770BE" w:rsidRDefault="00F61B34" w:rsidP="00A975A7">
            <w:pPr>
              <w:rPr>
                <w:szCs w:val="22"/>
                <w:highlight w:val="yellow"/>
              </w:rPr>
            </w:pPr>
            <w:r w:rsidRPr="00F61B34">
              <w:rPr>
                <w:szCs w:val="22"/>
              </w:rPr>
              <w:t>x</w:t>
            </w:r>
          </w:p>
        </w:tc>
      </w:tr>
      <w:tr w:rsidR="000E5A3B" w:rsidRPr="008770BE" w14:paraId="2C816ADF" w14:textId="77777777" w:rsidTr="000E5A3B">
        <w:tc>
          <w:tcPr>
            <w:tcW w:w="4423" w:type="dxa"/>
            <w:shd w:val="clear" w:color="auto" w:fill="auto"/>
          </w:tcPr>
          <w:p w14:paraId="2C816ADC" w14:textId="77777777" w:rsidR="000E5A3B" w:rsidRPr="000828CC" w:rsidRDefault="000E5A3B" w:rsidP="00A975A7">
            <w:pPr>
              <w:rPr>
                <w:szCs w:val="22"/>
              </w:rPr>
            </w:pPr>
            <w:r w:rsidRPr="000828CC">
              <w:rPr>
                <w:szCs w:val="22"/>
              </w:rPr>
              <w:t>Health and Wellbeing</w:t>
            </w:r>
          </w:p>
          <w:p w14:paraId="2C816ADD" w14:textId="77777777" w:rsidR="000E5A3B" w:rsidRPr="000828CC" w:rsidRDefault="000E5A3B" w:rsidP="00A975A7">
            <w:pPr>
              <w:rPr>
                <w:szCs w:val="22"/>
              </w:rPr>
            </w:pPr>
          </w:p>
        </w:tc>
        <w:tc>
          <w:tcPr>
            <w:tcW w:w="850" w:type="dxa"/>
            <w:shd w:val="clear" w:color="auto" w:fill="auto"/>
          </w:tcPr>
          <w:p w14:paraId="2C816ADE" w14:textId="77777777" w:rsidR="000E5A3B" w:rsidRPr="008770BE" w:rsidRDefault="00F148A9" w:rsidP="00A975A7">
            <w:pPr>
              <w:rPr>
                <w:szCs w:val="22"/>
                <w:highlight w:val="yellow"/>
              </w:rPr>
            </w:pPr>
            <w:r w:rsidRPr="00F61B34">
              <w:rPr>
                <w:szCs w:val="22"/>
              </w:rPr>
              <w:t>X</w:t>
            </w:r>
          </w:p>
        </w:tc>
      </w:tr>
      <w:tr w:rsidR="000E5A3B" w:rsidRPr="009C1143" w14:paraId="2C816AE3" w14:textId="77777777" w:rsidTr="000E5A3B">
        <w:tc>
          <w:tcPr>
            <w:tcW w:w="4423" w:type="dxa"/>
            <w:shd w:val="clear" w:color="auto" w:fill="auto"/>
          </w:tcPr>
          <w:p w14:paraId="2C816AE0" w14:textId="77777777" w:rsidR="000E5A3B" w:rsidRPr="000828CC" w:rsidRDefault="000E5A3B" w:rsidP="00A975A7">
            <w:pPr>
              <w:rPr>
                <w:szCs w:val="22"/>
              </w:rPr>
            </w:pPr>
            <w:r w:rsidRPr="000828CC">
              <w:rPr>
                <w:szCs w:val="22"/>
              </w:rPr>
              <w:t>Place</w:t>
            </w:r>
          </w:p>
          <w:p w14:paraId="2C816AE1" w14:textId="77777777" w:rsidR="000E5A3B" w:rsidRPr="000828CC" w:rsidRDefault="000E5A3B" w:rsidP="00A975A7">
            <w:pPr>
              <w:rPr>
                <w:szCs w:val="22"/>
              </w:rPr>
            </w:pPr>
          </w:p>
        </w:tc>
        <w:tc>
          <w:tcPr>
            <w:tcW w:w="850" w:type="dxa"/>
            <w:shd w:val="clear" w:color="auto" w:fill="auto"/>
          </w:tcPr>
          <w:p w14:paraId="2C816AE2" w14:textId="77777777" w:rsidR="000E5A3B" w:rsidRPr="009C1143" w:rsidRDefault="00F148A9" w:rsidP="00A975A7">
            <w:pPr>
              <w:rPr>
                <w:szCs w:val="22"/>
              </w:rPr>
            </w:pPr>
            <w:r>
              <w:rPr>
                <w:szCs w:val="22"/>
              </w:rPr>
              <w:t>X</w:t>
            </w:r>
          </w:p>
        </w:tc>
      </w:tr>
    </w:tbl>
    <w:p w14:paraId="2C816AE4" w14:textId="77777777" w:rsidR="002D4745" w:rsidRDefault="002D4745"/>
    <w:p w14:paraId="2C816AE5" w14:textId="77777777" w:rsidR="002D4745" w:rsidRDefault="002D4745" w:rsidP="002D4745">
      <w:pPr>
        <w:ind w:firstLine="720"/>
      </w:pPr>
      <w:r>
        <w:t>Projects relating to People in the Corporate Plan:</w:t>
      </w:r>
    </w:p>
    <w:p w14:paraId="2C816AE6" w14:textId="77777777"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14:paraId="2C816AEA" w14:textId="77777777" w:rsidTr="000E5A3B">
        <w:tc>
          <w:tcPr>
            <w:tcW w:w="4423" w:type="dxa"/>
            <w:shd w:val="clear" w:color="auto" w:fill="auto"/>
          </w:tcPr>
          <w:p w14:paraId="2C816AE7" w14:textId="77777777" w:rsidR="002D4745" w:rsidRDefault="002D4745" w:rsidP="00A975A7">
            <w:pPr>
              <w:rPr>
                <w:szCs w:val="22"/>
              </w:rPr>
            </w:pPr>
            <w:r>
              <w:rPr>
                <w:szCs w:val="22"/>
              </w:rPr>
              <w:t xml:space="preserve">People </w:t>
            </w:r>
          </w:p>
          <w:p w14:paraId="2C816AE8" w14:textId="77777777" w:rsidR="002D4745" w:rsidRPr="000828CC" w:rsidRDefault="002D4745" w:rsidP="00A975A7">
            <w:pPr>
              <w:rPr>
                <w:szCs w:val="22"/>
              </w:rPr>
            </w:pPr>
          </w:p>
        </w:tc>
        <w:tc>
          <w:tcPr>
            <w:tcW w:w="850" w:type="dxa"/>
            <w:shd w:val="clear" w:color="auto" w:fill="auto"/>
          </w:tcPr>
          <w:p w14:paraId="2C816AE9" w14:textId="77777777" w:rsidR="002D4745" w:rsidRPr="009C1143" w:rsidRDefault="00F61B34" w:rsidP="00A975A7">
            <w:pPr>
              <w:rPr>
                <w:szCs w:val="22"/>
              </w:rPr>
            </w:pPr>
            <w:r>
              <w:rPr>
                <w:szCs w:val="22"/>
              </w:rPr>
              <w:t>x</w:t>
            </w:r>
          </w:p>
        </w:tc>
      </w:tr>
    </w:tbl>
    <w:p w14:paraId="2C816AEB" w14:textId="77777777" w:rsidR="008C04DA" w:rsidRPr="008C04DA" w:rsidRDefault="008C04DA" w:rsidP="008C04DA">
      <w:pPr>
        <w:keepNext/>
        <w:ind w:left="360"/>
        <w:outlineLvl w:val="0"/>
        <w:rPr>
          <w:szCs w:val="22"/>
        </w:rPr>
      </w:pPr>
    </w:p>
    <w:p w14:paraId="2C816AEC" w14:textId="77777777" w:rsidR="0065176C" w:rsidRDefault="002F5C5E" w:rsidP="0065176C">
      <w:pPr>
        <w:keepNext/>
        <w:numPr>
          <w:ilvl w:val="0"/>
          <w:numId w:val="8"/>
        </w:numPr>
        <w:ind w:left="567" w:hanging="567"/>
        <w:outlineLvl w:val="0"/>
        <w:rPr>
          <w:b/>
          <w:szCs w:val="22"/>
        </w:rPr>
      </w:pPr>
      <w:r w:rsidRPr="008C04DA">
        <w:rPr>
          <w:b/>
          <w:szCs w:val="22"/>
        </w:rPr>
        <w:t>BACKGROUND TO THE REPORT</w:t>
      </w:r>
    </w:p>
    <w:p w14:paraId="2C816AED" w14:textId="77777777" w:rsidR="00F61B34" w:rsidRDefault="00F61B34" w:rsidP="00F61B34">
      <w:pPr>
        <w:keepNext/>
        <w:ind w:left="567"/>
        <w:outlineLvl w:val="0"/>
        <w:rPr>
          <w:b/>
          <w:szCs w:val="22"/>
        </w:rPr>
      </w:pPr>
    </w:p>
    <w:p w14:paraId="2C816AEE" w14:textId="77777777" w:rsidR="00F8316E" w:rsidRPr="00F8316E" w:rsidRDefault="00F8316E" w:rsidP="00F8316E">
      <w:pPr>
        <w:pStyle w:val="ListParagraph"/>
        <w:numPr>
          <w:ilvl w:val="1"/>
          <w:numId w:val="8"/>
        </w:numPr>
        <w:rPr>
          <w:rFonts w:ascii="Arial" w:hAnsi="Arial" w:cs="Arial"/>
        </w:rPr>
      </w:pPr>
      <w:r w:rsidRPr="00F8316E">
        <w:rPr>
          <w:rFonts w:ascii="Arial" w:hAnsi="Arial" w:cs="Arial"/>
        </w:rPr>
        <w:t>This report provides an overview of air quality in South Ribble from 2013 to 2017. The data for 2018 is not available at this point as analysis is ongoing with the raw data from our monitoring locations.</w:t>
      </w:r>
    </w:p>
    <w:p w14:paraId="2C816AEF" w14:textId="77777777" w:rsidR="00F8316E" w:rsidRDefault="00F8316E" w:rsidP="00F8316E">
      <w:pPr>
        <w:pStyle w:val="ListParagraph"/>
        <w:jc w:val="both"/>
        <w:rPr>
          <w:rFonts w:ascii="Arial" w:hAnsi="Arial" w:cs="Arial"/>
        </w:rPr>
      </w:pPr>
    </w:p>
    <w:p w14:paraId="2C816AF0" w14:textId="77777777" w:rsidR="00F61B34" w:rsidRPr="00C72111" w:rsidRDefault="00F61B34" w:rsidP="00C72111">
      <w:pPr>
        <w:pStyle w:val="ListParagraph"/>
        <w:numPr>
          <w:ilvl w:val="1"/>
          <w:numId w:val="8"/>
        </w:numPr>
        <w:jc w:val="both"/>
        <w:rPr>
          <w:rFonts w:ascii="Arial" w:hAnsi="Arial" w:cs="Arial"/>
        </w:rPr>
      </w:pPr>
      <w:r>
        <w:rPr>
          <w:rFonts w:ascii="Arial" w:hAnsi="Arial" w:cs="Arial"/>
        </w:rPr>
        <w:t>In 2005 South Ribble Borough Council declared the first four Air Quality Management Areas in the borough covering sites in Penwortham, Lostock Hall, Bamber Bridge and Walton-le-Dale, all for the likely exceedance of annual mean Nitrogen Dioxide Objective level.</w:t>
      </w:r>
      <w:r w:rsidR="00C72111">
        <w:rPr>
          <w:rFonts w:ascii="Arial" w:hAnsi="Arial" w:cs="Arial"/>
        </w:rPr>
        <w:t xml:space="preserve"> </w:t>
      </w:r>
      <w:r w:rsidRPr="00C72111">
        <w:rPr>
          <w:rFonts w:ascii="Arial" w:hAnsi="Arial" w:cs="Arial"/>
        </w:rPr>
        <w:t>Following continual air qu</w:t>
      </w:r>
      <w:r w:rsidR="00C72111">
        <w:rPr>
          <w:rFonts w:ascii="Arial" w:hAnsi="Arial" w:cs="Arial"/>
        </w:rPr>
        <w:t xml:space="preserve">ality monitoring </w:t>
      </w:r>
      <w:r w:rsidRPr="00C72111">
        <w:rPr>
          <w:rFonts w:ascii="Arial" w:hAnsi="Arial" w:cs="Arial"/>
        </w:rPr>
        <w:t>exceedances in the annual mean Nitrogen Dioxide le</w:t>
      </w:r>
      <w:r w:rsidR="007A3E15">
        <w:rPr>
          <w:rFonts w:ascii="Arial" w:hAnsi="Arial" w:cs="Arial"/>
        </w:rPr>
        <w:t>vels</w:t>
      </w:r>
      <w:r w:rsidR="007D3D8B">
        <w:rPr>
          <w:rFonts w:ascii="Arial" w:hAnsi="Arial" w:cs="Arial"/>
        </w:rPr>
        <w:t xml:space="preserve"> in conjunction with traffic flow data</w:t>
      </w:r>
      <w:r w:rsidR="007A3E15">
        <w:rPr>
          <w:rFonts w:ascii="Arial" w:hAnsi="Arial" w:cs="Arial"/>
        </w:rPr>
        <w:t xml:space="preserve">, </w:t>
      </w:r>
      <w:r w:rsidRPr="00C72111">
        <w:rPr>
          <w:rFonts w:ascii="Arial" w:hAnsi="Arial" w:cs="Arial"/>
        </w:rPr>
        <w:t>the fifth AQMA</w:t>
      </w:r>
      <w:r w:rsidR="00C72111">
        <w:rPr>
          <w:rFonts w:ascii="Arial" w:hAnsi="Arial" w:cs="Arial"/>
        </w:rPr>
        <w:t xml:space="preserve"> in Leyland was</w:t>
      </w:r>
      <w:r w:rsidRPr="00C72111">
        <w:rPr>
          <w:rFonts w:ascii="Arial" w:hAnsi="Arial" w:cs="Arial"/>
        </w:rPr>
        <w:t xml:space="preserve"> declared in December 2017. </w:t>
      </w:r>
      <w:r w:rsidR="007D3D8B">
        <w:rPr>
          <w:rFonts w:ascii="Arial" w:hAnsi="Arial" w:cs="Arial"/>
        </w:rPr>
        <w:t xml:space="preserve"> </w:t>
      </w:r>
    </w:p>
    <w:p w14:paraId="2C816AF1" w14:textId="77777777" w:rsidR="00F61B34" w:rsidRDefault="00F61B34" w:rsidP="00F61B34">
      <w:pPr>
        <w:pStyle w:val="ListParagraph"/>
        <w:ind w:left="792"/>
        <w:jc w:val="both"/>
        <w:rPr>
          <w:rFonts w:ascii="Arial" w:hAnsi="Arial" w:cs="Arial"/>
        </w:rPr>
      </w:pPr>
    </w:p>
    <w:p w14:paraId="2C816AF2" w14:textId="77777777" w:rsidR="00635ABE" w:rsidRDefault="00C72111" w:rsidP="002818D3">
      <w:pPr>
        <w:pStyle w:val="ListParagraph"/>
        <w:numPr>
          <w:ilvl w:val="1"/>
          <w:numId w:val="8"/>
        </w:numPr>
        <w:jc w:val="both"/>
        <w:rPr>
          <w:rFonts w:ascii="Arial" w:hAnsi="Arial" w:cs="Arial"/>
        </w:rPr>
      </w:pPr>
      <w:r>
        <w:rPr>
          <w:rFonts w:ascii="Arial" w:hAnsi="Arial" w:cs="Arial"/>
        </w:rPr>
        <w:t>In November 2018 Cabinet approved the Council’s Air Quality Action Plan</w:t>
      </w:r>
      <w:r w:rsidR="006F56CC">
        <w:t xml:space="preserve"> </w:t>
      </w:r>
      <w:r w:rsidR="006F56CC">
        <w:rPr>
          <w:rFonts w:ascii="Arial" w:hAnsi="Arial" w:cs="Arial"/>
        </w:rPr>
        <w:t xml:space="preserve">with </w:t>
      </w:r>
      <w:r w:rsidR="00B841FA" w:rsidRPr="00B841FA">
        <w:rPr>
          <w:rFonts w:ascii="Arial" w:hAnsi="Arial" w:cs="Arial"/>
        </w:rPr>
        <w:t>58 identifi</w:t>
      </w:r>
      <w:r w:rsidR="006F56CC">
        <w:rPr>
          <w:rFonts w:ascii="Arial" w:hAnsi="Arial" w:cs="Arial"/>
        </w:rPr>
        <w:t>ed actions</w:t>
      </w:r>
      <w:r w:rsidR="00F8316E">
        <w:rPr>
          <w:rFonts w:ascii="Arial" w:hAnsi="Arial" w:cs="Arial"/>
        </w:rPr>
        <w:t xml:space="preserve"> to improve Air Quality for the residents of South Ribble</w:t>
      </w:r>
      <w:r>
        <w:rPr>
          <w:rFonts w:ascii="Arial" w:hAnsi="Arial" w:cs="Arial"/>
        </w:rPr>
        <w:t xml:space="preserve">. </w:t>
      </w:r>
      <w:r w:rsidR="00F61B34" w:rsidRPr="00F031E8">
        <w:rPr>
          <w:rFonts w:ascii="Arial" w:hAnsi="Arial" w:cs="Arial"/>
        </w:rPr>
        <w:t xml:space="preserve">A steering group comprising of elected members, County Council Highways Officers, Public Health Lancashire, CCG, Police and South Ribble Staff were invited to attend the steering group to develop the action plan. In addition, a full public consultation was undertaken which gathered a number of responses and suggested measures to be included. </w:t>
      </w:r>
    </w:p>
    <w:p w14:paraId="2C816AF3" w14:textId="77777777" w:rsidR="002818D3" w:rsidRPr="002818D3" w:rsidRDefault="002818D3" w:rsidP="002818D3">
      <w:pPr>
        <w:pStyle w:val="ListParagraph"/>
        <w:jc w:val="both"/>
        <w:rPr>
          <w:rFonts w:ascii="Arial" w:hAnsi="Arial" w:cs="Arial"/>
        </w:rPr>
      </w:pPr>
    </w:p>
    <w:p w14:paraId="2C816AF4" w14:textId="77777777" w:rsidR="00635ABE" w:rsidRDefault="006F56CC" w:rsidP="00635ABE">
      <w:pPr>
        <w:pStyle w:val="ListParagraph"/>
        <w:numPr>
          <w:ilvl w:val="1"/>
          <w:numId w:val="8"/>
        </w:numPr>
        <w:jc w:val="both"/>
        <w:rPr>
          <w:rFonts w:ascii="Arial" w:hAnsi="Arial" w:cs="Arial"/>
        </w:rPr>
      </w:pPr>
      <w:r>
        <w:rPr>
          <w:rFonts w:ascii="Arial" w:hAnsi="Arial" w:cs="Arial"/>
        </w:rPr>
        <w:t>The Local Air Quality Management</w:t>
      </w:r>
      <w:r w:rsidR="00635ABE" w:rsidRPr="00635ABE">
        <w:rPr>
          <w:rFonts w:ascii="Arial" w:hAnsi="Arial" w:cs="Arial"/>
        </w:rPr>
        <w:t xml:space="preserve"> process places an obligation on all local authorities to regularly review and assess air quality in their areas, and to determine whether or not the air quality objectives are likely to be achieved. Where an exceedance is considered likely the local authority must declare an Air Quality Management Area (AQMA) and prepare an Air Quality Action Plan (AQAP) setting out the measures it intends to put in place in pursuit of the objectives.</w:t>
      </w:r>
    </w:p>
    <w:p w14:paraId="2C816AF5" w14:textId="77777777" w:rsidR="00322C85" w:rsidRDefault="00322C85" w:rsidP="00322C85">
      <w:pPr>
        <w:pStyle w:val="ListParagraph"/>
        <w:jc w:val="both"/>
        <w:rPr>
          <w:rFonts w:ascii="Arial" w:hAnsi="Arial" w:cs="Arial"/>
        </w:rPr>
      </w:pPr>
    </w:p>
    <w:p w14:paraId="2C816AF6" w14:textId="77777777" w:rsidR="00322C85" w:rsidRPr="00322C85" w:rsidRDefault="00322C85" w:rsidP="00322C85">
      <w:pPr>
        <w:pStyle w:val="ListParagraph"/>
        <w:numPr>
          <w:ilvl w:val="1"/>
          <w:numId w:val="8"/>
        </w:numPr>
        <w:jc w:val="both"/>
        <w:rPr>
          <w:rFonts w:ascii="Arial" w:hAnsi="Arial" w:cs="Arial"/>
        </w:rPr>
      </w:pPr>
      <w:r w:rsidRPr="00322C85">
        <w:rPr>
          <w:rFonts w:ascii="Arial" w:hAnsi="Arial" w:cs="Arial"/>
        </w:rPr>
        <w:t>There are no safe levels of air pollutants and the World Health Organisation has identified the following guideline levels:</w:t>
      </w:r>
    </w:p>
    <w:p w14:paraId="2C816AF7" w14:textId="77777777" w:rsidR="00322C85" w:rsidRPr="00322C85" w:rsidRDefault="00322C85" w:rsidP="00322C85">
      <w:pPr>
        <w:pStyle w:val="ListParagraph"/>
        <w:jc w:val="both"/>
        <w:rPr>
          <w:rFonts w:ascii="Arial" w:hAnsi="Arial" w:cs="Arial"/>
        </w:rPr>
      </w:pPr>
      <w:r w:rsidRPr="00322C85">
        <w:rPr>
          <w:rFonts w:ascii="Arial" w:hAnsi="Arial" w:cs="Arial"/>
        </w:rPr>
        <w:t>PPM</w:t>
      </w:r>
      <w:r>
        <w:rPr>
          <w:rFonts w:ascii="Arial" w:hAnsi="Arial" w:cs="Arial"/>
        </w:rPr>
        <w:t xml:space="preserve"> </w:t>
      </w:r>
      <w:r w:rsidRPr="00322C85">
        <w:rPr>
          <w:rFonts w:ascii="Arial" w:hAnsi="Arial" w:cs="Arial"/>
        </w:rPr>
        <w:t xml:space="preserve">2.5 </w:t>
      </w:r>
      <w:r>
        <w:rPr>
          <w:rFonts w:ascii="Arial" w:hAnsi="Arial" w:cs="Arial"/>
        </w:rPr>
        <w:t xml:space="preserve">      </w:t>
      </w:r>
      <w:r w:rsidRPr="00322C85">
        <w:rPr>
          <w:rFonts w:ascii="Arial" w:hAnsi="Arial" w:cs="Arial"/>
        </w:rPr>
        <w:t>10 μg/m3 annual mean</w:t>
      </w:r>
    </w:p>
    <w:p w14:paraId="2C816AF8" w14:textId="77777777" w:rsidR="00322C85" w:rsidRPr="00322C85" w:rsidRDefault="00322C85" w:rsidP="00322C85">
      <w:pPr>
        <w:pStyle w:val="ListParagraph"/>
        <w:jc w:val="both"/>
        <w:rPr>
          <w:rFonts w:ascii="Arial" w:hAnsi="Arial" w:cs="Arial"/>
        </w:rPr>
      </w:pPr>
      <w:r w:rsidRPr="00322C85">
        <w:rPr>
          <w:rFonts w:ascii="Arial" w:hAnsi="Arial" w:cs="Arial"/>
        </w:rPr>
        <w:t>PM</w:t>
      </w:r>
      <w:r>
        <w:rPr>
          <w:rFonts w:ascii="Arial" w:hAnsi="Arial" w:cs="Arial"/>
        </w:rPr>
        <w:t xml:space="preserve"> </w:t>
      </w:r>
      <w:r w:rsidRPr="00322C85">
        <w:rPr>
          <w:rFonts w:ascii="Arial" w:hAnsi="Arial" w:cs="Arial"/>
        </w:rPr>
        <w:t xml:space="preserve">10 </w:t>
      </w:r>
      <w:r>
        <w:rPr>
          <w:rFonts w:ascii="Arial" w:hAnsi="Arial" w:cs="Arial"/>
        </w:rPr>
        <w:t xml:space="preserve">          </w:t>
      </w:r>
      <w:r w:rsidRPr="00322C85">
        <w:rPr>
          <w:rFonts w:ascii="Arial" w:hAnsi="Arial" w:cs="Arial"/>
        </w:rPr>
        <w:t>20 μg/m3 annual mean</w:t>
      </w:r>
    </w:p>
    <w:p w14:paraId="2C816AF9" w14:textId="77777777" w:rsidR="00322C85" w:rsidRPr="0084659E" w:rsidRDefault="00322C85" w:rsidP="0084659E">
      <w:pPr>
        <w:pStyle w:val="ListParagraph"/>
        <w:jc w:val="both"/>
        <w:rPr>
          <w:rFonts w:ascii="Arial" w:hAnsi="Arial" w:cs="Arial"/>
        </w:rPr>
      </w:pPr>
      <w:r w:rsidRPr="00322C85">
        <w:rPr>
          <w:rFonts w:ascii="Arial" w:hAnsi="Arial" w:cs="Arial"/>
        </w:rPr>
        <w:t xml:space="preserve">NO2 </w:t>
      </w:r>
      <w:r>
        <w:rPr>
          <w:rFonts w:ascii="Arial" w:hAnsi="Arial" w:cs="Arial"/>
        </w:rPr>
        <w:t xml:space="preserve">             </w:t>
      </w:r>
      <w:r w:rsidRPr="00322C85">
        <w:rPr>
          <w:rFonts w:ascii="Arial" w:hAnsi="Arial" w:cs="Arial"/>
        </w:rPr>
        <w:t>40 μg/m3 annual mean</w:t>
      </w:r>
    </w:p>
    <w:p w14:paraId="2C816AFA" w14:textId="77777777" w:rsidR="00EF3B6C" w:rsidRDefault="00EF3B6C" w:rsidP="00F61B34">
      <w:pPr>
        <w:keepNext/>
        <w:outlineLvl w:val="0"/>
        <w:rPr>
          <w:b/>
          <w:szCs w:val="22"/>
        </w:rPr>
      </w:pPr>
    </w:p>
    <w:p w14:paraId="2C816AFB" w14:textId="77777777" w:rsidR="008C04DA" w:rsidRDefault="00445FAD" w:rsidP="0065176C">
      <w:pPr>
        <w:keepNext/>
        <w:numPr>
          <w:ilvl w:val="0"/>
          <w:numId w:val="8"/>
        </w:numPr>
        <w:ind w:left="567" w:hanging="567"/>
        <w:outlineLvl w:val="0"/>
        <w:rPr>
          <w:b/>
          <w:szCs w:val="22"/>
        </w:rPr>
      </w:pPr>
      <w:r>
        <w:rPr>
          <w:b/>
          <w:szCs w:val="22"/>
        </w:rPr>
        <w:t xml:space="preserve">DETAILED CONSIDERATION </w:t>
      </w:r>
    </w:p>
    <w:p w14:paraId="2C816AFC" w14:textId="77777777" w:rsidR="00EF3B6C" w:rsidRDefault="00EF3B6C" w:rsidP="00EF3B6C">
      <w:pPr>
        <w:keepNext/>
        <w:ind w:left="567"/>
        <w:outlineLvl w:val="0"/>
        <w:rPr>
          <w:b/>
          <w:szCs w:val="22"/>
        </w:rPr>
      </w:pPr>
    </w:p>
    <w:p w14:paraId="2C816AFD" w14:textId="77777777" w:rsidR="002818D3" w:rsidRPr="002818D3" w:rsidRDefault="002818D3" w:rsidP="002818D3">
      <w:pPr>
        <w:pStyle w:val="ListParagraph"/>
        <w:numPr>
          <w:ilvl w:val="1"/>
          <w:numId w:val="8"/>
        </w:numPr>
        <w:rPr>
          <w:rFonts w:ascii="Arial" w:hAnsi="Arial" w:cs="Arial"/>
        </w:rPr>
      </w:pPr>
      <w:r w:rsidRPr="002818D3">
        <w:rPr>
          <w:rFonts w:ascii="Arial" w:hAnsi="Arial" w:cs="Arial"/>
        </w:rPr>
        <w:t>The air quality monitoring results presented in Appendix A and Figure A are, independently tested results which have been verified by the Department for Food and Rural Affairs (DEFRA). The results of the air NO2 Proficiency Testing Scheme and a field comparison exercise precision survey indicated a good overall level of precision with collocated studies for the diffusion tubes.</w:t>
      </w:r>
    </w:p>
    <w:p w14:paraId="2C816AFE" w14:textId="77777777" w:rsidR="002818D3" w:rsidRPr="002818D3" w:rsidRDefault="002818D3" w:rsidP="002818D3">
      <w:pPr>
        <w:pStyle w:val="ListParagraph"/>
        <w:rPr>
          <w:rFonts w:ascii="Arial" w:hAnsi="Arial" w:cs="Arial"/>
        </w:rPr>
      </w:pPr>
    </w:p>
    <w:p w14:paraId="2C816AFF" w14:textId="77777777" w:rsidR="002818D3" w:rsidRPr="002818D3" w:rsidRDefault="002818D3" w:rsidP="002818D3">
      <w:pPr>
        <w:pStyle w:val="ListParagraph"/>
        <w:numPr>
          <w:ilvl w:val="1"/>
          <w:numId w:val="8"/>
        </w:numPr>
        <w:rPr>
          <w:rFonts w:ascii="Arial" w:hAnsi="Arial" w:cs="Arial"/>
        </w:rPr>
      </w:pPr>
      <w:r w:rsidRPr="002818D3">
        <w:rPr>
          <w:rFonts w:ascii="Arial" w:hAnsi="Arial" w:cs="Arial"/>
        </w:rPr>
        <w:lastRenderedPageBreak/>
        <w:t>Table A and Figure A in the appendices compares the ratified and adjusted monitored NO2 annual mean concentrations for the past 5 years with the air quality objective of 40µg/m3.</w:t>
      </w:r>
    </w:p>
    <w:p w14:paraId="2C816B00" w14:textId="77777777" w:rsidR="002818D3" w:rsidRPr="002818D3" w:rsidRDefault="002818D3" w:rsidP="002818D3">
      <w:pPr>
        <w:pStyle w:val="ListParagraph"/>
        <w:rPr>
          <w:rFonts w:ascii="Arial" w:hAnsi="Arial" w:cs="Arial"/>
        </w:rPr>
      </w:pPr>
    </w:p>
    <w:p w14:paraId="2C816B01" w14:textId="77777777" w:rsidR="002818D3" w:rsidRPr="002818D3" w:rsidRDefault="002818D3" w:rsidP="002818D3">
      <w:pPr>
        <w:pStyle w:val="ListParagraph"/>
        <w:numPr>
          <w:ilvl w:val="1"/>
          <w:numId w:val="8"/>
        </w:numPr>
        <w:rPr>
          <w:rFonts w:ascii="Arial" w:hAnsi="Arial" w:cs="Arial"/>
        </w:rPr>
      </w:pPr>
      <w:r w:rsidRPr="002818D3">
        <w:rPr>
          <w:rFonts w:ascii="Arial" w:hAnsi="Arial" w:cs="Arial"/>
        </w:rPr>
        <w:t xml:space="preserve">The results obtained from the monitoring undertaken by South Ribble show a general, reduction in NO2 levels on the 2013 data with the exception of Lostock Hall, AQMA 3, which has identified an exceedance of the objective value over the year 2017. Leyland AQMA 5 for the year 2017 show no exceedances of the air quality objective, but further monitoring is being undertaken to understand the trends. </w:t>
      </w:r>
    </w:p>
    <w:p w14:paraId="2C816B02" w14:textId="77777777" w:rsidR="002818D3" w:rsidRPr="002818D3" w:rsidRDefault="002818D3" w:rsidP="002818D3">
      <w:pPr>
        <w:pStyle w:val="ListParagraph"/>
        <w:rPr>
          <w:rFonts w:ascii="Arial" w:hAnsi="Arial" w:cs="Arial"/>
        </w:rPr>
      </w:pPr>
    </w:p>
    <w:p w14:paraId="2C816B03" w14:textId="77777777" w:rsidR="002818D3" w:rsidRDefault="002818D3" w:rsidP="002818D3">
      <w:pPr>
        <w:pStyle w:val="ListParagraph"/>
        <w:numPr>
          <w:ilvl w:val="1"/>
          <w:numId w:val="8"/>
        </w:numPr>
        <w:rPr>
          <w:rFonts w:ascii="Arial" w:hAnsi="Arial" w:cs="Arial"/>
        </w:rPr>
      </w:pPr>
      <w:r w:rsidRPr="002818D3">
        <w:rPr>
          <w:rFonts w:ascii="Arial" w:hAnsi="Arial" w:cs="Arial"/>
        </w:rPr>
        <w:t>The monitoring data shows Penwortham AQMA 1, Walton-Le-Dale AQMA 2 and Bamber Bridge AQMA 3 that in the last five years the air quality objective of 40µg/m3 has not been exceeded. Work is ongoing to carefully consider the designation of these areas to ensure that the Health and Wellbeing of our residents are protected.</w:t>
      </w:r>
      <w:r w:rsidR="00EB2F5C">
        <w:rPr>
          <w:rFonts w:ascii="Arial" w:hAnsi="Arial" w:cs="Arial"/>
        </w:rPr>
        <w:t xml:space="preserve">  </w:t>
      </w:r>
      <w:r w:rsidR="00EB2F5C" w:rsidRPr="00454D59">
        <w:rPr>
          <w:rFonts w:ascii="Arial" w:hAnsi="Arial" w:cs="Arial"/>
        </w:rPr>
        <w:t xml:space="preserve">The positive </w:t>
      </w:r>
      <w:r w:rsidR="00454D59">
        <w:rPr>
          <w:rFonts w:ascii="Arial" w:hAnsi="Arial" w:cs="Arial"/>
        </w:rPr>
        <w:t>and proactive</w:t>
      </w:r>
      <w:r w:rsidR="00FD3880">
        <w:rPr>
          <w:rFonts w:ascii="Arial" w:hAnsi="Arial" w:cs="Arial"/>
        </w:rPr>
        <w:t xml:space="preserve"> actions</w:t>
      </w:r>
      <w:r w:rsidR="00454D59" w:rsidRPr="00454D59">
        <w:rPr>
          <w:rFonts w:ascii="Arial" w:hAnsi="Arial" w:cs="Arial"/>
        </w:rPr>
        <w:t xml:space="preserve"> the Council has </w:t>
      </w:r>
      <w:r w:rsidR="00454D59">
        <w:rPr>
          <w:rFonts w:ascii="Arial" w:hAnsi="Arial" w:cs="Arial"/>
        </w:rPr>
        <w:t xml:space="preserve">undertaken includes producing guidance for developers on air quality, ensuring electrical hook ups are located on new development sites and various schemes </w:t>
      </w:r>
      <w:r w:rsidR="00FD3880">
        <w:rPr>
          <w:rFonts w:ascii="Arial" w:hAnsi="Arial" w:cs="Arial"/>
        </w:rPr>
        <w:t>to encourage the use of bikes.</w:t>
      </w:r>
    </w:p>
    <w:p w14:paraId="2C816B04" w14:textId="77777777" w:rsidR="0052539B" w:rsidRPr="0052539B" w:rsidRDefault="0052539B" w:rsidP="0052539B">
      <w:pPr>
        <w:pStyle w:val="ListParagraph"/>
        <w:rPr>
          <w:rFonts w:ascii="Arial" w:hAnsi="Arial" w:cs="Arial"/>
        </w:rPr>
      </w:pPr>
    </w:p>
    <w:p w14:paraId="2C816B05" w14:textId="77777777" w:rsidR="0052539B" w:rsidRPr="00696492" w:rsidRDefault="0052539B" w:rsidP="002818D3">
      <w:pPr>
        <w:pStyle w:val="ListParagraph"/>
        <w:numPr>
          <w:ilvl w:val="1"/>
          <w:numId w:val="8"/>
        </w:numPr>
        <w:rPr>
          <w:rFonts w:ascii="Arial" w:hAnsi="Arial" w:cs="Arial"/>
        </w:rPr>
      </w:pPr>
      <w:r w:rsidRPr="00696492">
        <w:rPr>
          <w:rFonts w:ascii="Arial" w:hAnsi="Arial" w:cs="Arial"/>
        </w:rPr>
        <w:t xml:space="preserve">Members are asked to note the </w:t>
      </w:r>
      <w:r w:rsidR="005C5BA2">
        <w:rPr>
          <w:rFonts w:ascii="Arial" w:hAnsi="Arial" w:cs="Arial"/>
        </w:rPr>
        <w:t>improving air quality levels</w:t>
      </w:r>
      <w:r w:rsidR="007676D5">
        <w:rPr>
          <w:rFonts w:ascii="Arial" w:hAnsi="Arial" w:cs="Arial"/>
        </w:rPr>
        <w:t xml:space="preserve"> in South Ribble. O</w:t>
      </w:r>
      <w:r w:rsidRPr="00696492">
        <w:rPr>
          <w:rFonts w:ascii="Arial" w:hAnsi="Arial" w:cs="Arial"/>
        </w:rPr>
        <w:t xml:space="preserve">nly </w:t>
      </w:r>
      <w:r w:rsidR="00696492">
        <w:rPr>
          <w:rFonts w:ascii="Arial" w:hAnsi="Arial" w:cs="Arial"/>
        </w:rPr>
        <w:t>one monitoring location</w:t>
      </w:r>
      <w:r w:rsidR="007676D5">
        <w:rPr>
          <w:rFonts w:ascii="Arial" w:hAnsi="Arial" w:cs="Arial"/>
        </w:rPr>
        <w:t xml:space="preserve"> in 2017</w:t>
      </w:r>
      <w:r w:rsidR="00696492">
        <w:rPr>
          <w:rFonts w:ascii="Arial" w:hAnsi="Arial" w:cs="Arial"/>
        </w:rPr>
        <w:t xml:space="preserve"> </w:t>
      </w:r>
      <w:r w:rsidR="007676D5">
        <w:rPr>
          <w:rFonts w:ascii="Arial" w:hAnsi="Arial" w:cs="Arial"/>
        </w:rPr>
        <w:t>marginally exceeded</w:t>
      </w:r>
      <w:r w:rsidRPr="00696492">
        <w:rPr>
          <w:rFonts w:ascii="Arial" w:hAnsi="Arial" w:cs="Arial"/>
        </w:rPr>
        <w:t xml:space="preserve"> the 40µg/m3 limits</w:t>
      </w:r>
      <w:r w:rsidR="007676D5">
        <w:rPr>
          <w:rFonts w:ascii="Arial" w:hAnsi="Arial" w:cs="Arial"/>
        </w:rPr>
        <w:t xml:space="preserve">. </w:t>
      </w:r>
      <w:r w:rsidR="005C5BA2">
        <w:rPr>
          <w:rFonts w:ascii="Arial" w:hAnsi="Arial" w:cs="Arial"/>
        </w:rPr>
        <w:t xml:space="preserve">We will </w:t>
      </w:r>
      <w:r w:rsidRPr="00696492">
        <w:rPr>
          <w:rFonts w:ascii="Arial" w:hAnsi="Arial" w:cs="Arial"/>
        </w:rPr>
        <w:t>continue to</w:t>
      </w:r>
      <w:r w:rsidR="00696492">
        <w:rPr>
          <w:rFonts w:ascii="Arial" w:hAnsi="Arial" w:cs="Arial"/>
        </w:rPr>
        <w:t xml:space="preserve"> monitor these air quality management area</w:t>
      </w:r>
      <w:r w:rsidR="007676D5">
        <w:rPr>
          <w:rFonts w:ascii="Arial" w:hAnsi="Arial" w:cs="Arial"/>
        </w:rPr>
        <w:t>s</w:t>
      </w:r>
      <w:r w:rsidR="005C5BA2">
        <w:rPr>
          <w:rFonts w:ascii="Arial" w:hAnsi="Arial" w:cs="Arial"/>
        </w:rPr>
        <w:t xml:space="preserve"> as</w:t>
      </w:r>
      <w:r w:rsidRPr="00696492">
        <w:rPr>
          <w:rFonts w:ascii="Arial" w:hAnsi="Arial" w:cs="Arial"/>
        </w:rPr>
        <w:t xml:space="preserve"> the </w:t>
      </w:r>
      <w:r w:rsidR="005C5BA2">
        <w:rPr>
          <w:rFonts w:ascii="Arial" w:hAnsi="Arial" w:cs="Arial"/>
        </w:rPr>
        <w:t xml:space="preserve">Council is committed to the Health and Wellbeing of its residents. The Council has an ambitious Corporate Plan 2019/20 with the </w:t>
      </w:r>
      <w:r w:rsidRPr="00696492">
        <w:rPr>
          <w:rFonts w:ascii="Arial" w:hAnsi="Arial" w:cs="Arial"/>
        </w:rPr>
        <w:t>Green Links</w:t>
      </w:r>
      <w:r w:rsidR="005C5BA2">
        <w:rPr>
          <w:rFonts w:ascii="Arial" w:hAnsi="Arial" w:cs="Arial"/>
        </w:rPr>
        <w:t xml:space="preserve"> programme and the infrastructure works in the City Deal contributing to further improving</w:t>
      </w:r>
      <w:r w:rsidRPr="00696492">
        <w:rPr>
          <w:rFonts w:ascii="Arial" w:hAnsi="Arial" w:cs="Arial"/>
        </w:rPr>
        <w:t xml:space="preserve"> the air quality of the borough.  </w:t>
      </w:r>
    </w:p>
    <w:p w14:paraId="2C816B06" w14:textId="77777777" w:rsidR="002818D3" w:rsidRDefault="002818D3" w:rsidP="002818D3">
      <w:pPr>
        <w:pStyle w:val="ListParagraph"/>
        <w:rPr>
          <w:rFonts w:ascii="Arial" w:hAnsi="Arial" w:cs="Arial"/>
        </w:rPr>
      </w:pPr>
    </w:p>
    <w:p w14:paraId="2C816B07" w14:textId="77777777" w:rsidR="00F61B34" w:rsidRDefault="00980BF1" w:rsidP="00980BF1">
      <w:pPr>
        <w:pStyle w:val="ListParagraph"/>
        <w:numPr>
          <w:ilvl w:val="1"/>
          <w:numId w:val="8"/>
        </w:numPr>
        <w:rPr>
          <w:rFonts w:ascii="Arial" w:hAnsi="Arial" w:cs="Arial"/>
        </w:rPr>
      </w:pPr>
      <w:r w:rsidRPr="00980BF1">
        <w:rPr>
          <w:rFonts w:ascii="Arial" w:hAnsi="Arial" w:cs="Arial"/>
        </w:rPr>
        <w:t>A review of the</w:t>
      </w:r>
      <w:r w:rsidR="00B111B0">
        <w:rPr>
          <w:rFonts w:ascii="Arial" w:hAnsi="Arial" w:cs="Arial"/>
        </w:rPr>
        <w:t xml:space="preserve"> South Ribble</w:t>
      </w:r>
      <w:r w:rsidRPr="00980BF1">
        <w:rPr>
          <w:rFonts w:ascii="Arial" w:hAnsi="Arial" w:cs="Arial"/>
        </w:rPr>
        <w:t xml:space="preserve"> area has been undertaken to assess any changes that have occurred over the last 12 months and the potential for these to impact either negatively or positively on air quality.</w:t>
      </w:r>
    </w:p>
    <w:p w14:paraId="2C816B08" w14:textId="77777777" w:rsidR="00980BF1" w:rsidRDefault="00980BF1" w:rsidP="00980BF1">
      <w:pPr>
        <w:pStyle w:val="ListParagraph"/>
        <w:rPr>
          <w:rFonts w:ascii="Arial" w:hAnsi="Arial" w:cs="Arial"/>
        </w:rPr>
      </w:pPr>
    </w:p>
    <w:p w14:paraId="2C816B09" w14:textId="77777777" w:rsidR="00980BF1" w:rsidRPr="00980BF1" w:rsidRDefault="00980BF1" w:rsidP="00980BF1">
      <w:pPr>
        <w:pStyle w:val="ListParagraph"/>
        <w:numPr>
          <w:ilvl w:val="1"/>
          <w:numId w:val="8"/>
        </w:numPr>
        <w:rPr>
          <w:rFonts w:ascii="Arial" w:hAnsi="Arial" w:cs="Arial"/>
        </w:rPr>
      </w:pPr>
      <w:r w:rsidRPr="00980BF1">
        <w:rPr>
          <w:rFonts w:ascii="Arial" w:hAnsi="Arial" w:cs="Arial"/>
        </w:rPr>
        <w:t xml:space="preserve">As part of the Preston, South Ribble and Lancashire City Deal, significant residential development has been granted planning permission, particularly in the Leyland area, Bamber Bridge, adjacent to the declared AQMA’s and Lostock Hall with construction already commenced, and some plots already occupied. </w:t>
      </w:r>
    </w:p>
    <w:p w14:paraId="2C816B0A" w14:textId="77777777" w:rsidR="00980BF1" w:rsidRPr="00980BF1" w:rsidRDefault="00980BF1" w:rsidP="00980BF1">
      <w:pPr>
        <w:pStyle w:val="ListParagraph"/>
        <w:rPr>
          <w:rFonts w:ascii="Arial" w:hAnsi="Arial" w:cs="Arial"/>
        </w:rPr>
      </w:pPr>
    </w:p>
    <w:p w14:paraId="2C816B0B" w14:textId="77777777" w:rsidR="00980BF1" w:rsidRPr="00980BF1" w:rsidRDefault="00980BF1" w:rsidP="00980BF1">
      <w:pPr>
        <w:pStyle w:val="ListParagraph"/>
        <w:numPr>
          <w:ilvl w:val="1"/>
          <w:numId w:val="8"/>
        </w:numPr>
        <w:rPr>
          <w:rFonts w:ascii="Arial" w:hAnsi="Arial" w:cs="Arial"/>
        </w:rPr>
      </w:pPr>
      <w:r w:rsidRPr="00980BF1">
        <w:rPr>
          <w:rFonts w:ascii="Arial" w:hAnsi="Arial" w:cs="Arial"/>
        </w:rPr>
        <w:t>Air quality has been considered for most of the above developments, with those using nationally recognised asse</w:t>
      </w:r>
      <w:r>
        <w:rPr>
          <w:rFonts w:ascii="Arial" w:hAnsi="Arial" w:cs="Arial"/>
        </w:rPr>
        <w:t xml:space="preserve">ssment methodology </w:t>
      </w:r>
      <w:r w:rsidRPr="00980BF1">
        <w:rPr>
          <w:rFonts w:ascii="Arial" w:hAnsi="Arial" w:cs="Arial"/>
        </w:rPr>
        <w:t>concluding a negligible impact. In line with the proposed Lancashire wide guidance document mitigation measures have been requested on all of these sites. Monitoring of the area using diffusion tubes is currently being undertaken by the Council and the results are detailed below.</w:t>
      </w:r>
    </w:p>
    <w:p w14:paraId="2C816B0C" w14:textId="77777777" w:rsidR="00980BF1" w:rsidRPr="00980BF1" w:rsidRDefault="00980BF1" w:rsidP="00980BF1">
      <w:pPr>
        <w:pStyle w:val="ListParagraph"/>
        <w:rPr>
          <w:rFonts w:ascii="Arial" w:hAnsi="Arial" w:cs="Arial"/>
        </w:rPr>
      </w:pPr>
    </w:p>
    <w:p w14:paraId="2C816B0D" w14:textId="77777777" w:rsidR="00327BC5" w:rsidRDefault="00980BF1" w:rsidP="00F47F6D">
      <w:pPr>
        <w:pStyle w:val="ListParagraph"/>
        <w:numPr>
          <w:ilvl w:val="1"/>
          <w:numId w:val="8"/>
        </w:numPr>
        <w:rPr>
          <w:rFonts w:ascii="Arial" w:hAnsi="Arial" w:cs="Arial"/>
        </w:rPr>
      </w:pPr>
      <w:r w:rsidRPr="00980BF1">
        <w:rPr>
          <w:rFonts w:ascii="Arial" w:hAnsi="Arial" w:cs="Arial"/>
        </w:rPr>
        <w:t>Progress is continuing on the major road infrastructure improvements identified in the ‘South Ribble Borough Council Air Quality Action Plan’ and ‘Central Lancashire Highways and transport Masterplan’. These road improvements once completed should help to reduce congestion and improve air quality within the towns of South Ribble.</w:t>
      </w:r>
      <w:r w:rsidR="00EB2F5C">
        <w:rPr>
          <w:rFonts w:ascii="Arial" w:hAnsi="Arial" w:cs="Arial"/>
        </w:rPr>
        <w:t xml:space="preserve"> South Ribble’s position, as part of the City Deal Programme, is that infrastructure should come first.</w:t>
      </w:r>
    </w:p>
    <w:p w14:paraId="2C816B0E" w14:textId="77777777" w:rsidR="00F47F6D" w:rsidRPr="00F47F6D" w:rsidRDefault="00F47F6D" w:rsidP="00F47F6D">
      <w:pPr>
        <w:pStyle w:val="ListParagraph"/>
        <w:rPr>
          <w:rFonts w:ascii="Arial" w:hAnsi="Arial" w:cs="Arial"/>
        </w:rPr>
      </w:pPr>
    </w:p>
    <w:p w14:paraId="2C816B0F" w14:textId="77777777" w:rsidR="003D4E28" w:rsidRPr="003D4E28" w:rsidRDefault="003D4E28" w:rsidP="003D4E28">
      <w:pPr>
        <w:pStyle w:val="ListParagraph"/>
        <w:numPr>
          <w:ilvl w:val="1"/>
          <w:numId w:val="8"/>
        </w:numPr>
        <w:rPr>
          <w:rFonts w:ascii="Arial" w:hAnsi="Arial" w:cs="Arial"/>
        </w:rPr>
      </w:pPr>
      <w:r w:rsidRPr="003D4E28">
        <w:rPr>
          <w:rFonts w:ascii="Arial" w:hAnsi="Arial" w:cs="Arial"/>
        </w:rPr>
        <w:t>Defr</w:t>
      </w:r>
      <w:r w:rsidR="00327BC5">
        <w:rPr>
          <w:rFonts w:ascii="Arial" w:hAnsi="Arial" w:cs="Arial"/>
        </w:rPr>
        <w:t>a’s appraisal of last year’s Air Quality report</w:t>
      </w:r>
      <w:r w:rsidRPr="003D4E28">
        <w:rPr>
          <w:rFonts w:ascii="Arial" w:hAnsi="Arial" w:cs="Arial"/>
        </w:rPr>
        <w:t xml:space="preserve"> concluded;</w:t>
      </w:r>
    </w:p>
    <w:p w14:paraId="2C816B10" w14:textId="77777777" w:rsidR="003D4E28" w:rsidRPr="003D4E28" w:rsidRDefault="003D4E28" w:rsidP="003D4E28">
      <w:pPr>
        <w:pStyle w:val="ListParagraph"/>
        <w:numPr>
          <w:ilvl w:val="0"/>
          <w:numId w:val="13"/>
        </w:numPr>
        <w:rPr>
          <w:rFonts w:ascii="Arial" w:hAnsi="Arial" w:cs="Arial"/>
        </w:rPr>
      </w:pPr>
      <w:r w:rsidRPr="003D4E28">
        <w:rPr>
          <w:rFonts w:ascii="Arial" w:hAnsi="Arial" w:cs="Arial"/>
        </w:rPr>
        <w:t>There is an expectation that pollution concentrations will be expected to fall below the objective levels unless there are roads with additional congested traffic.</w:t>
      </w:r>
    </w:p>
    <w:p w14:paraId="2C816B11" w14:textId="77777777" w:rsidR="003D4E28" w:rsidRPr="003D4E28" w:rsidRDefault="003D4E28" w:rsidP="003D4E28">
      <w:pPr>
        <w:pStyle w:val="ListParagraph"/>
        <w:numPr>
          <w:ilvl w:val="0"/>
          <w:numId w:val="13"/>
        </w:numPr>
        <w:rPr>
          <w:rFonts w:ascii="Arial" w:hAnsi="Arial" w:cs="Arial"/>
        </w:rPr>
      </w:pPr>
      <w:r>
        <w:rPr>
          <w:rFonts w:ascii="Arial" w:hAnsi="Arial" w:cs="Arial"/>
        </w:rPr>
        <w:t>T</w:t>
      </w:r>
      <w:r w:rsidRPr="003D4E28">
        <w:rPr>
          <w:rFonts w:ascii="Arial" w:hAnsi="Arial" w:cs="Arial"/>
        </w:rPr>
        <w:t>he Council need to carefully consider the future monitoring programme, to ensure changes in AQMA designations can be made on the basis of local monitoring evidence.</w:t>
      </w:r>
    </w:p>
    <w:p w14:paraId="2C816B12" w14:textId="77777777" w:rsidR="003D4E28" w:rsidRPr="003D4E28" w:rsidRDefault="003D4E28" w:rsidP="003D4E28">
      <w:pPr>
        <w:pStyle w:val="ListParagraph"/>
        <w:numPr>
          <w:ilvl w:val="0"/>
          <w:numId w:val="13"/>
        </w:numPr>
        <w:rPr>
          <w:rFonts w:ascii="Arial" w:hAnsi="Arial" w:cs="Arial"/>
        </w:rPr>
      </w:pPr>
      <w:r w:rsidRPr="003D4E28">
        <w:rPr>
          <w:rFonts w:ascii="Arial" w:hAnsi="Arial" w:cs="Arial"/>
        </w:rPr>
        <w:t>A steering group is required to co-ordinate the measures identified in the action plan.</w:t>
      </w:r>
    </w:p>
    <w:p w14:paraId="2C816B13" w14:textId="77777777" w:rsidR="003D4E28" w:rsidRPr="003D4E28" w:rsidRDefault="003D4E28" w:rsidP="003D4E28">
      <w:pPr>
        <w:pStyle w:val="ListParagraph"/>
        <w:numPr>
          <w:ilvl w:val="0"/>
          <w:numId w:val="13"/>
        </w:numPr>
        <w:rPr>
          <w:rFonts w:ascii="Arial" w:hAnsi="Arial" w:cs="Arial"/>
        </w:rPr>
      </w:pPr>
      <w:r w:rsidRPr="003D4E28">
        <w:rPr>
          <w:rFonts w:ascii="Arial" w:hAnsi="Arial" w:cs="Arial"/>
        </w:rPr>
        <w:t>It is clear that close engagement with Lancashire County Council is required, particularly in the development of the next Local Transport Plan.</w:t>
      </w:r>
    </w:p>
    <w:p w14:paraId="2C816B14" w14:textId="77777777" w:rsidR="008C04DA" w:rsidRPr="0084659E" w:rsidRDefault="003D4E28" w:rsidP="00F61B34">
      <w:pPr>
        <w:pStyle w:val="ListParagraph"/>
        <w:numPr>
          <w:ilvl w:val="0"/>
          <w:numId w:val="13"/>
        </w:numPr>
        <w:rPr>
          <w:rFonts w:ascii="Arial" w:hAnsi="Arial" w:cs="Arial"/>
        </w:rPr>
      </w:pPr>
      <w:r w:rsidRPr="003D4E28">
        <w:rPr>
          <w:rFonts w:ascii="Arial" w:hAnsi="Arial" w:cs="Arial"/>
        </w:rPr>
        <w:t>The impacts of the planning residential developments in South Ribble need to be considered.</w:t>
      </w:r>
    </w:p>
    <w:p w14:paraId="2C816B15" w14:textId="77777777" w:rsidR="007A0801" w:rsidRDefault="001A24F9" w:rsidP="007A0801">
      <w:pPr>
        <w:numPr>
          <w:ilvl w:val="0"/>
          <w:numId w:val="8"/>
        </w:numPr>
        <w:ind w:left="567" w:hanging="567"/>
        <w:rPr>
          <w:rFonts w:cs="Arial"/>
          <w:b/>
        </w:rPr>
      </w:pPr>
      <w:r w:rsidRPr="000828CC">
        <w:rPr>
          <w:rFonts w:cs="Arial"/>
          <w:b/>
        </w:rPr>
        <w:lastRenderedPageBreak/>
        <w:t>CONSULTATION CARRIED</w:t>
      </w:r>
      <w:r w:rsidR="007A0801" w:rsidRPr="000828CC">
        <w:rPr>
          <w:rFonts w:cs="Arial"/>
          <w:b/>
        </w:rPr>
        <w:t xml:space="preserve"> OUT AND OUTCOME OF CONSULTATION</w:t>
      </w:r>
    </w:p>
    <w:p w14:paraId="2C816B16" w14:textId="77777777" w:rsidR="00F61B34" w:rsidRPr="000828CC" w:rsidRDefault="00F61B34" w:rsidP="00F61B34">
      <w:pPr>
        <w:ind w:left="567"/>
        <w:rPr>
          <w:rFonts w:cs="Arial"/>
          <w:b/>
        </w:rPr>
      </w:pPr>
    </w:p>
    <w:p w14:paraId="2C816B17" w14:textId="77777777" w:rsidR="00F61B34" w:rsidRDefault="00F61B34" w:rsidP="00F61B34">
      <w:pPr>
        <w:pStyle w:val="ListParagraph"/>
        <w:numPr>
          <w:ilvl w:val="1"/>
          <w:numId w:val="8"/>
        </w:numPr>
        <w:jc w:val="both"/>
        <w:rPr>
          <w:rFonts w:ascii="Arial" w:hAnsi="Arial" w:cs="Arial"/>
        </w:rPr>
      </w:pPr>
      <w:r>
        <w:rPr>
          <w:rFonts w:ascii="Arial" w:hAnsi="Arial" w:cs="Arial"/>
        </w:rPr>
        <w:t>On the 21</w:t>
      </w:r>
      <w:r w:rsidRPr="00F623CF">
        <w:rPr>
          <w:rFonts w:ascii="Arial" w:hAnsi="Arial" w:cs="Arial"/>
          <w:vertAlign w:val="superscript"/>
        </w:rPr>
        <w:t>st</w:t>
      </w:r>
      <w:r>
        <w:rPr>
          <w:rFonts w:ascii="Arial" w:hAnsi="Arial" w:cs="Arial"/>
        </w:rPr>
        <w:t xml:space="preserve"> June 2018, National Clean Air Day, a full consultation was launched as part at a Clean Air Day event for members and staff at the civic centre. The aim of the day was to launch the consultation on the revised action plan, source potential measures to be incorporated and improve the understanding around air quality. </w:t>
      </w:r>
    </w:p>
    <w:p w14:paraId="2C816B18" w14:textId="77777777" w:rsidR="00F61B34" w:rsidRDefault="00F61B34" w:rsidP="00F61B34">
      <w:pPr>
        <w:pStyle w:val="ListParagraph"/>
        <w:ind w:left="792"/>
        <w:jc w:val="both"/>
        <w:rPr>
          <w:rFonts w:ascii="Arial" w:hAnsi="Arial" w:cs="Arial"/>
        </w:rPr>
      </w:pPr>
    </w:p>
    <w:p w14:paraId="2C816B19" w14:textId="77777777" w:rsidR="00F61B34" w:rsidRDefault="00F61B34" w:rsidP="00F61B34">
      <w:pPr>
        <w:pStyle w:val="ListParagraph"/>
        <w:numPr>
          <w:ilvl w:val="1"/>
          <w:numId w:val="8"/>
        </w:numPr>
        <w:jc w:val="both"/>
        <w:rPr>
          <w:rFonts w:ascii="Arial" w:hAnsi="Arial" w:cs="Arial"/>
        </w:rPr>
      </w:pPr>
      <w:r>
        <w:rPr>
          <w:rFonts w:ascii="Arial" w:hAnsi="Arial" w:cs="Arial"/>
        </w:rPr>
        <w:t>An air quality Steering group was established involving staff and members from South Ribble Borough Council, County Council Highways and Public Health and CCG.</w:t>
      </w:r>
    </w:p>
    <w:p w14:paraId="2C816B1A" w14:textId="77777777" w:rsidR="00F61B34" w:rsidRDefault="00F61B34" w:rsidP="00F61B34">
      <w:pPr>
        <w:pStyle w:val="ListParagraph"/>
        <w:ind w:left="792"/>
        <w:jc w:val="both"/>
        <w:rPr>
          <w:rFonts w:ascii="Arial" w:hAnsi="Arial" w:cs="Arial"/>
        </w:rPr>
      </w:pPr>
    </w:p>
    <w:p w14:paraId="2C816B1B" w14:textId="77777777" w:rsidR="00F61B34" w:rsidRDefault="00F61B34" w:rsidP="00F61B34">
      <w:pPr>
        <w:pStyle w:val="ListParagraph"/>
        <w:numPr>
          <w:ilvl w:val="1"/>
          <w:numId w:val="8"/>
        </w:numPr>
        <w:jc w:val="both"/>
        <w:rPr>
          <w:rFonts w:ascii="Arial" w:hAnsi="Arial" w:cs="Arial"/>
        </w:rPr>
      </w:pPr>
      <w:r>
        <w:rPr>
          <w:rFonts w:ascii="Arial" w:hAnsi="Arial" w:cs="Arial"/>
        </w:rPr>
        <w:t>A press release was released and articles placed on the council’s website, social media and internal intranet (Connect).</w:t>
      </w:r>
    </w:p>
    <w:p w14:paraId="2C816B1C" w14:textId="77777777" w:rsidR="00F61B34" w:rsidRPr="00F623CF" w:rsidRDefault="00F61B34" w:rsidP="00F61B34">
      <w:pPr>
        <w:pStyle w:val="ListParagraph"/>
        <w:rPr>
          <w:rFonts w:ascii="Arial" w:hAnsi="Arial" w:cs="Arial"/>
        </w:rPr>
      </w:pPr>
    </w:p>
    <w:p w14:paraId="2C816B1D" w14:textId="77777777" w:rsidR="00F61B34" w:rsidRDefault="00F61B34" w:rsidP="00F61B34">
      <w:pPr>
        <w:pStyle w:val="ListParagraph"/>
        <w:numPr>
          <w:ilvl w:val="1"/>
          <w:numId w:val="8"/>
        </w:numPr>
        <w:jc w:val="both"/>
        <w:rPr>
          <w:rFonts w:ascii="Arial" w:hAnsi="Arial" w:cs="Arial"/>
        </w:rPr>
      </w:pPr>
      <w:r>
        <w:rPr>
          <w:rFonts w:ascii="Arial" w:hAnsi="Arial" w:cs="Arial"/>
        </w:rPr>
        <w:t>A large number of suggested measures were received from the Clean Air Day event and over the six-week consultation period. Participates included staff, partner organisations, elected members and members of the public. These were sorted and discussed within the steering group, finally deciding on those included within the document</w:t>
      </w:r>
      <w:r w:rsidR="00F96129">
        <w:rPr>
          <w:rFonts w:ascii="Arial" w:hAnsi="Arial" w:cs="Arial"/>
        </w:rPr>
        <w:t xml:space="preserve"> Air Quality Action Plan 2018</w:t>
      </w:r>
      <w:r>
        <w:rPr>
          <w:rFonts w:ascii="Arial" w:hAnsi="Arial" w:cs="Arial"/>
        </w:rPr>
        <w:t>.</w:t>
      </w:r>
    </w:p>
    <w:p w14:paraId="2C816B1E" w14:textId="77777777" w:rsidR="005944CE" w:rsidRPr="005944CE" w:rsidRDefault="005944CE" w:rsidP="005944CE">
      <w:pPr>
        <w:pStyle w:val="ListParagraph"/>
        <w:rPr>
          <w:rFonts w:ascii="Arial" w:hAnsi="Arial" w:cs="Arial"/>
        </w:rPr>
      </w:pPr>
    </w:p>
    <w:p w14:paraId="2C816B1F" w14:textId="77777777" w:rsidR="005944CE" w:rsidRDefault="005944CE" w:rsidP="00F61B34">
      <w:pPr>
        <w:pStyle w:val="ListParagraph"/>
        <w:numPr>
          <w:ilvl w:val="1"/>
          <w:numId w:val="8"/>
        </w:numPr>
        <w:jc w:val="both"/>
        <w:rPr>
          <w:rFonts w:ascii="Arial" w:hAnsi="Arial" w:cs="Arial"/>
        </w:rPr>
      </w:pPr>
      <w:r>
        <w:rPr>
          <w:rFonts w:ascii="Arial" w:hAnsi="Arial" w:cs="Arial"/>
        </w:rPr>
        <w:t xml:space="preserve">The </w:t>
      </w:r>
      <w:r w:rsidR="00F96129">
        <w:rPr>
          <w:rFonts w:ascii="Arial" w:hAnsi="Arial" w:cs="Arial"/>
        </w:rPr>
        <w:t xml:space="preserve">Green Links and Planning for real consultation 2019 supported residents to come with their concerns and solutions and air quality was a consideration. </w:t>
      </w:r>
    </w:p>
    <w:p w14:paraId="2C816B20" w14:textId="77777777" w:rsidR="001A24F9" w:rsidRPr="000828CC" w:rsidRDefault="001A24F9" w:rsidP="00F61B34">
      <w:pPr>
        <w:rPr>
          <w:rFonts w:cs="Arial"/>
          <w:b/>
          <w:color w:val="2E74B5" w:themeColor="accent1" w:themeShade="BF"/>
        </w:rPr>
      </w:pPr>
    </w:p>
    <w:p w14:paraId="2C816B21" w14:textId="77777777" w:rsidR="001A24F9" w:rsidRPr="000828CC" w:rsidRDefault="008770BE" w:rsidP="000427E0">
      <w:pPr>
        <w:numPr>
          <w:ilvl w:val="0"/>
          <w:numId w:val="8"/>
        </w:numPr>
        <w:ind w:left="567" w:hanging="567"/>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14:paraId="2C816B22" w14:textId="77777777" w:rsidR="007A0801" w:rsidRPr="000828CC" w:rsidRDefault="007A0801" w:rsidP="007A0801">
      <w:pPr>
        <w:ind w:left="567"/>
        <w:rPr>
          <w:rFonts w:cs="Arial"/>
          <w:b/>
        </w:rPr>
      </w:pPr>
    </w:p>
    <w:p w14:paraId="2C816B23" w14:textId="77777777" w:rsidR="001A24F9" w:rsidRPr="00BD4760" w:rsidRDefault="0031245C" w:rsidP="00F61B34">
      <w:pPr>
        <w:pStyle w:val="ListParagraph"/>
        <w:numPr>
          <w:ilvl w:val="1"/>
          <w:numId w:val="8"/>
        </w:numPr>
        <w:jc w:val="both"/>
        <w:rPr>
          <w:rFonts w:ascii="Arial" w:hAnsi="Arial" w:cs="Arial"/>
        </w:rPr>
      </w:pPr>
      <w:r>
        <w:rPr>
          <w:rFonts w:ascii="Arial" w:hAnsi="Arial" w:cs="Arial"/>
        </w:rPr>
        <w:t>The alternative option was to do nothing but t</w:t>
      </w:r>
      <w:r w:rsidR="0017549F">
        <w:rPr>
          <w:rFonts w:ascii="Arial" w:hAnsi="Arial" w:cs="Arial"/>
        </w:rPr>
        <w:t xml:space="preserve">he Council </w:t>
      </w:r>
      <w:r w:rsidR="00EB2F5C">
        <w:rPr>
          <w:rFonts w:ascii="Arial" w:hAnsi="Arial" w:cs="Arial"/>
        </w:rPr>
        <w:t>places air quality as a key priority action area that it commits to and has demonstrated through the positive actions undertaken along with a future long term commitment of the air quality action plan</w:t>
      </w:r>
      <w:r w:rsidR="0017549F">
        <w:rPr>
          <w:rFonts w:ascii="Arial" w:hAnsi="Arial" w:cs="Arial"/>
        </w:rPr>
        <w:t>.</w:t>
      </w:r>
      <w:r w:rsidR="00EB2F5C">
        <w:rPr>
          <w:rFonts w:ascii="Arial" w:hAnsi="Arial" w:cs="Arial"/>
        </w:rPr>
        <w:t xml:space="preserve">  The Council also has a statutory duty.  </w:t>
      </w:r>
    </w:p>
    <w:p w14:paraId="2C816B24" w14:textId="77777777" w:rsidR="001A24F9" w:rsidRPr="000828CC" w:rsidRDefault="001A24F9" w:rsidP="001A24F9">
      <w:pPr>
        <w:rPr>
          <w:rFonts w:cs="Arial"/>
          <w:b/>
        </w:rPr>
      </w:pPr>
    </w:p>
    <w:p w14:paraId="2C816B25" w14:textId="77777777" w:rsidR="001A24F9" w:rsidRPr="000828CC" w:rsidRDefault="001A24F9" w:rsidP="000427E0">
      <w:pPr>
        <w:numPr>
          <w:ilvl w:val="0"/>
          <w:numId w:val="8"/>
        </w:numPr>
        <w:ind w:left="567" w:hanging="567"/>
        <w:rPr>
          <w:rFonts w:cs="Arial"/>
          <w:b/>
          <w:caps/>
        </w:rPr>
      </w:pPr>
      <w:r w:rsidRPr="000828CC">
        <w:rPr>
          <w:rFonts w:cs="Arial"/>
          <w:b/>
          <w:caps/>
        </w:rPr>
        <w:t>Financial implications</w:t>
      </w:r>
    </w:p>
    <w:p w14:paraId="2C816B26" w14:textId="77777777" w:rsidR="007A0801" w:rsidRPr="000828CC" w:rsidRDefault="007A0801" w:rsidP="007A0801">
      <w:pPr>
        <w:ind w:left="567"/>
        <w:rPr>
          <w:rFonts w:cs="Arial"/>
          <w:b/>
          <w:caps/>
        </w:rPr>
      </w:pPr>
    </w:p>
    <w:p w14:paraId="2C816B27" w14:textId="77777777" w:rsidR="00BD4760" w:rsidRPr="00BD4760" w:rsidRDefault="0017549F" w:rsidP="005944CE">
      <w:pPr>
        <w:numPr>
          <w:ilvl w:val="1"/>
          <w:numId w:val="8"/>
        </w:numPr>
        <w:jc w:val="both"/>
        <w:rPr>
          <w:rFonts w:cs="Arial"/>
        </w:rPr>
      </w:pPr>
      <w:r>
        <w:rPr>
          <w:rFonts w:cs="Arial"/>
        </w:rPr>
        <w:t>T</w:t>
      </w:r>
      <w:r w:rsidR="00BD4760" w:rsidRPr="00BD4760">
        <w:rPr>
          <w:rFonts w:cs="Arial"/>
        </w:rPr>
        <w:t>he development and implementation of some of the identified measures</w:t>
      </w:r>
      <w:r>
        <w:rPr>
          <w:rFonts w:cs="Arial"/>
        </w:rPr>
        <w:t xml:space="preserve"> in the Air Quality Action Plan</w:t>
      </w:r>
      <w:r w:rsidR="00BD4760" w:rsidRPr="00BD4760">
        <w:rPr>
          <w:rFonts w:cs="Arial"/>
        </w:rPr>
        <w:t xml:space="preserve"> will have a financial impact and each will need to be considered separately</w:t>
      </w:r>
      <w:r w:rsidR="00F02677">
        <w:rPr>
          <w:rFonts w:cs="Arial"/>
        </w:rPr>
        <w:t xml:space="preserve"> and form part of Corporate Planning</w:t>
      </w:r>
      <w:r w:rsidR="00BD4760" w:rsidRPr="00BD4760">
        <w:rPr>
          <w:rFonts w:cs="Arial"/>
        </w:rPr>
        <w:t xml:space="preserve"> as the measures are developed</w:t>
      </w:r>
      <w:r w:rsidR="005944CE">
        <w:rPr>
          <w:rFonts w:cs="Arial"/>
        </w:rPr>
        <w:t xml:space="preserve"> over the 5 year life of the plan.</w:t>
      </w:r>
    </w:p>
    <w:p w14:paraId="2C816B28" w14:textId="77777777" w:rsidR="001A24F9" w:rsidRPr="009D3E4A" w:rsidRDefault="001A24F9" w:rsidP="00BD4760">
      <w:pPr>
        <w:ind w:left="720"/>
        <w:jc w:val="both"/>
        <w:rPr>
          <w:rFonts w:cs="Arial"/>
          <w:caps/>
        </w:rPr>
      </w:pPr>
    </w:p>
    <w:p w14:paraId="2C816B29" w14:textId="77777777" w:rsidR="001A24F9" w:rsidRPr="000828CC" w:rsidRDefault="001A24F9" w:rsidP="001A24F9">
      <w:pPr>
        <w:rPr>
          <w:rFonts w:cs="Arial"/>
          <w:b/>
          <w:color w:val="2E74B5" w:themeColor="accent1" w:themeShade="BF"/>
        </w:rPr>
      </w:pPr>
    </w:p>
    <w:p w14:paraId="2C816B2A" w14:textId="77777777" w:rsidR="007A0801" w:rsidRDefault="007A0801" w:rsidP="000427E0">
      <w:pPr>
        <w:numPr>
          <w:ilvl w:val="0"/>
          <w:numId w:val="8"/>
        </w:numPr>
        <w:ind w:left="567" w:hanging="567"/>
        <w:rPr>
          <w:rFonts w:cs="Arial"/>
          <w:b/>
          <w:caps/>
        </w:rPr>
      </w:pPr>
      <w:r w:rsidRPr="000828CC">
        <w:rPr>
          <w:rFonts w:cs="Arial"/>
          <w:b/>
          <w:caps/>
        </w:rPr>
        <w:t>LEGAL IMPLICATIONS</w:t>
      </w:r>
    </w:p>
    <w:p w14:paraId="2C816B2B" w14:textId="77777777" w:rsidR="00BD4760" w:rsidRPr="000828CC" w:rsidRDefault="00BD4760" w:rsidP="00BD4760">
      <w:pPr>
        <w:ind w:left="567"/>
        <w:rPr>
          <w:rFonts w:cs="Arial"/>
          <w:b/>
          <w:caps/>
        </w:rPr>
      </w:pPr>
    </w:p>
    <w:p w14:paraId="2C816B2C" w14:textId="77777777" w:rsidR="00BD4760" w:rsidRDefault="00C72111" w:rsidP="00BD4760">
      <w:pPr>
        <w:pStyle w:val="ListParagraph"/>
        <w:numPr>
          <w:ilvl w:val="1"/>
          <w:numId w:val="8"/>
        </w:numPr>
        <w:jc w:val="both"/>
        <w:rPr>
          <w:rFonts w:ascii="Arial" w:hAnsi="Arial" w:cs="Arial"/>
        </w:rPr>
      </w:pPr>
      <w:r>
        <w:rPr>
          <w:rFonts w:ascii="Arial" w:hAnsi="Arial" w:cs="Arial"/>
        </w:rPr>
        <w:t>The Council is under a legal obligation, Part IV of the Environment Act, to produce an Air Quality Action Plan (AQAP) following the declaration of an AQMA and to work towards the improvement of air quality within its area and achieving the air quality national objective values</w:t>
      </w:r>
    </w:p>
    <w:p w14:paraId="2C816B2D" w14:textId="77777777" w:rsidR="00BD4760" w:rsidRDefault="00BD4760" w:rsidP="00BD4760">
      <w:pPr>
        <w:pStyle w:val="ListParagraph"/>
        <w:ind w:left="792"/>
        <w:jc w:val="both"/>
        <w:rPr>
          <w:rFonts w:ascii="Arial" w:hAnsi="Arial" w:cs="Arial"/>
        </w:rPr>
      </w:pPr>
    </w:p>
    <w:p w14:paraId="2C816B2E" w14:textId="77777777" w:rsidR="00BD4760" w:rsidRDefault="00BD4760" w:rsidP="00BD4760">
      <w:pPr>
        <w:pStyle w:val="ListParagraph"/>
        <w:numPr>
          <w:ilvl w:val="1"/>
          <w:numId w:val="8"/>
        </w:numPr>
        <w:jc w:val="both"/>
        <w:rPr>
          <w:rFonts w:ascii="Arial" w:hAnsi="Arial" w:cs="Arial"/>
        </w:rPr>
      </w:pPr>
      <w:r>
        <w:rPr>
          <w:rFonts w:ascii="Arial" w:hAnsi="Arial" w:cs="Arial"/>
        </w:rPr>
        <w:t>Failure to produce, maintain, review an air quality action plan and pursue measures within it may result in direct intervention from the secretary of state.</w:t>
      </w:r>
    </w:p>
    <w:p w14:paraId="2C816B2F" w14:textId="77777777" w:rsidR="007A0801" w:rsidRPr="007A0801" w:rsidRDefault="007A0801" w:rsidP="007A0801">
      <w:pPr>
        <w:rPr>
          <w:rFonts w:cs="Arial"/>
          <w:caps/>
        </w:rPr>
      </w:pPr>
    </w:p>
    <w:p w14:paraId="2C816B30" w14:textId="77777777" w:rsidR="001A24F9" w:rsidRDefault="001A24F9" w:rsidP="000427E0">
      <w:pPr>
        <w:numPr>
          <w:ilvl w:val="0"/>
          <w:numId w:val="8"/>
        </w:numPr>
        <w:ind w:left="567" w:hanging="567"/>
        <w:rPr>
          <w:rFonts w:cs="Arial"/>
          <w:b/>
          <w:caps/>
        </w:rPr>
      </w:pPr>
      <w:r w:rsidRPr="00491976">
        <w:rPr>
          <w:rFonts w:cs="Arial"/>
          <w:b/>
          <w:caps/>
        </w:rPr>
        <w:t>Human Resources and Organisational Development implications</w:t>
      </w:r>
    </w:p>
    <w:p w14:paraId="2C816B31" w14:textId="77777777" w:rsidR="007A0801" w:rsidRDefault="007A0801" w:rsidP="007A0801">
      <w:pPr>
        <w:ind w:left="567"/>
        <w:rPr>
          <w:rFonts w:cs="Arial"/>
          <w:b/>
          <w:caps/>
        </w:rPr>
      </w:pPr>
    </w:p>
    <w:p w14:paraId="2C816B32" w14:textId="77777777" w:rsidR="001A24F9" w:rsidRPr="007A0801" w:rsidRDefault="009D3E4A" w:rsidP="007A0801">
      <w:pPr>
        <w:numPr>
          <w:ilvl w:val="1"/>
          <w:numId w:val="8"/>
        </w:numPr>
        <w:ind w:left="567" w:hanging="567"/>
        <w:rPr>
          <w:rFonts w:cs="Arial"/>
          <w:b/>
          <w:caps/>
        </w:rPr>
      </w:pPr>
      <w:r w:rsidRPr="009D3E4A">
        <w:rPr>
          <w:rFonts w:cs="Arial"/>
        </w:rPr>
        <w:t>None</w:t>
      </w:r>
      <w:r w:rsidR="001A24F9" w:rsidRPr="007A0801">
        <w:rPr>
          <w:rFonts w:cs="Arial"/>
          <w:i/>
          <w:color w:val="4472C4"/>
        </w:rPr>
        <w:t>.</w:t>
      </w:r>
    </w:p>
    <w:p w14:paraId="2C816B33" w14:textId="77777777" w:rsidR="001A24F9" w:rsidRDefault="001A24F9" w:rsidP="001A24F9">
      <w:pPr>
        <w:rPr>
          <w:rFonts w:cs="Arial"/>
          <w:b/>
        </w:rPr>
      </w:pPr>
    </w:p>
    <w:p w14:paraId="2C816B34" w14:textId="77777777" w:rsidR="001A24F9" w:rsidRDefault="001A24F9" w:rsidP="000427E0">
      <w:pPr>
        <w:numPr>
          <w:ilvl w:val="0"/>
          <w:numId w:val="8"/>
        </w:numPr>
        <w:ind w:left="567" w:hanging="567"/>
        <w:rPr>
          <w:rFonts w:cs="Arial"/>
          <w:b/>
          <w:caps/>
        </w:rPr>
      </w:pPr>
      <w:r w:rsidRPr="00491976">
        <w:rPr>
          <w:rFonts w:cs="Arial"/>
          <w:b/>
          <w:caps/>
        </w:rPr>
        <w:t>ICT/technology implications</w:t>
      </w:r>
    </w:p>
    <w:p w14:paraId="2C816B35" w14:textId="77777777" w:rsidR="00911FD5" w:rsidRDefault="00911FD5" w:rsidP="00911FD5">
      <w:pPr>
        <w:ind w:left="567"/>
        <w:rPr>
          <w:rFonts w:cs="Arial"/>
          <w:b/>
          <w:caps/>
        </w:rPr>
      </w:pPr>
    </w:p>
    <w:p w14:paraId="2C816B36" w14:textId="77777777" w:rsidR="001A24F9" w:rsidRPr="00911FD5" w:rsidRDefault="009D3E4A" w:rsidP="00911FD5">
      <w:pPr>
        <w:numPr>
          <w:ilvl w:val="1"/>
          <w:numId w:val="8"/>
        </w:numPr>
        <w:ind w:left="567" w:hanging="567"/>
        <w:rPr>
          <w:rFonts w:cs="Arial"/>
          <w:caps/>
        </w:rPr>
      </w:pPr>
      <w:r w:rsidRPr="009D3E4A">
        <w:rPr>
          <w:rFonts w:cs="Arial"/>
        </w:rPr>
        <w:t>None</w:t>
      </w:r>
      <w:r w:rsidR="001A24F9" w:rsidRPr="00911FD5">
        <w:rPr>
          <w:rFonts w:cs="Arial"/>
          <w:i/>
          <w:color w:val="4472C4"/>
        </w:rPr>
        <w:t>.</w:t>
      </w:r>
    </w:p>
    <w:p w14:paraId="2C816B37" w14:textId="77777777" w:rsidR="001A24F9" w:rsidRDefault="001A24F9" w:rsidP="001A24F9">
      <w:pPr>
        <w:rPr>
          <w:rFonts w:cs="Arial"/>
          <w:b/>
        </w:rPr>
      </w:pPr>
    </w:p>
    <w:p w14:paraId="2C816B38" w14:textId="77777777" w:rsidR="001A24F9" w:rsidRDefault="001A24F9" w:rsidP="000427E0">
      <w:pPr>
        <w:numPr>
          <w:ilvl w:val="0"/>
          <w:numId w:val="8"/>
        </w:numPr>
        <w:ind w:left="567" w:hanging="567"/>
        <w:rPr>
          <w:rFonts w:cs="Arial"/>
          <w:b/>
          <w:caps/>
        </w:rPr>
      </w:pPr>
      <w:r w:rsidRPr="00491976">
        <w:rPr>
          <w:rFonts w:cs="Arial"/>
          <w:b/>
          <w:caps/>
        </w:rPr>
        <w:t>Property and Asset Management implications</w:t>
      </w:r>
    </w:p>
    <w:p w14:paraId="2C816B39" w14:textId="77777777" w:rsidR="00911FD5" w:rsidRDefault="00911FD5" w:rsidP="00911FD5">
      <w:pPr>
        <w:ind w:left="567"/>
        <w:rPr>
          <w:rFonts w:cs="Arial"/>
          <w:b/>
          <w:caps/>
        </w:rPr>
      </w:pPr>
    </w:p>
    <w:p w14:paraId="2C816B3A" w14:textId="77777777" w:rsidR="009063C4" w:rsidRDefault="00445FAD" w:rsidP="001D407F">
      <w:pPr>
        <w:rPr>
          <w:rFonts w:cs="Arial"/>
        </w:rPr>
      </w:pPr>
      <w:r w:rsidRPr="00445FAD">
        <w:rPr>
          <w:rFonts w:cs="Arial"/>
        </w:rPr>
        <w:t xml:space="preserve">13.1 None </w:t>
      </w:r>
    </w:p>
    <w:p w14:paraId="2C816B3B" w14:textId="77777777" w:rsidR="00445FAD" w:rsidRPr="00445FAD" w:rsidRDefault="00445FAD" w:rsidP="001D407F">
      <w:pPr>
        <w:rPr>
          <w:rFonts w:cs="Arial"/>
        </w:rPr>
      </w:pPr>
    </w:p>
    <w:p w14:paraId="2C816B3C" w14:textId="77777777" w:rsidR="001A24F9" w:rsidRDefault="001A24F9" w:rsidP="000427E0">
      <w:pPr>
        <w:numPr>
          <w:ilvl w:val="0"/>
          <w:numId w:val="8"/>
        </w:numPr>
        <w:ind w:left="567" w:hanging="567"/>
        <w:rPr>
          <w:rFonts w:cs="Arial"/>
          <w:b/>
        </w:rPr>
      </w:pPr>
      <w:r>
        <w:rPr>
          <w:rFonts w:cs="Arial"/>
          <w:b/>
        </w:rPr>
        <w:t>RISK MANAGEMENT</w:t>
      </w:r>
    </w:p>
    <w:p w14:paraId="2C816B3D" w14:textId="77777777" w:rsidR="00911FD5" w:rsidRDefault="00911FD5" w:rsidP="00911FD5">
      <w:pPr>
        <w:ind w:left="567"/>
        <w:rPr>
          <w:rFonts w:cs="Arial"/>
          <w:b/>
        </w:rPr>
      </w:pPr>
    </w:p>
    <w:p w14:paraId="2C816B3E" w14:textId="77777777" w:rsidR="00BD4760" w:rsidRPr="00BD4760" w:rsidRDefault="00BD4760" w:rsidP="00BD4760">
      <w:pPr>
        <w:numPr>
          <w:ilvl w:val="1"/>
          <w:numId w:val="8"/>
        </w:numPr>
        <w:ind w:left="567" w:hanging="567"/>
        <w:rPr>
          <w:rFonts w:cs="Arial"/>
        </w:rPr>
      </w:pPr>
      <w:r w:rsidRPr="00BD4760">
        <w:rPr>
          <w:rFonts w:cs="Arial"/>
        </w:rPr>
        <w:t>There are no implic</w:t>
      </w:r>
      <w:r>
        <w:rPr>
          <w:rFonts w:cs="Arial"/>
        </w:rPr>
        <w:t>ations for not adopting the Air Quality Action Plan</w:t>
      </w:r>
      <w:r w:rsidR="00EB2F5C">
        <w:rPr>
          <w:rFonts w:cs="Arial"/>
        </w:rPr>
        <w:t>, h</w:t>
      </w:r>
      <w:r w:rsidRPr="00BD4760">
        <w:rPr>
          <w:rFonts w:cs="Arial"/>
        </w:rPr>
        <w:t xml:space="preserve">owever failure to work towards the completion of </w:t>
      </w:r>
      <w:r w:rsidR="00EB2F5C">
        <w:rPr>
          <w:rFonts w:cs="Arial"/>
        </w:rPr>
        <w:t>the identified measures may</w:t>
      </w:r>
      <w:r w:rsidRPr="00BD4760">
        <w:rPr>
          <w:rFonts w:cs="Arial"/>
        </w:rPr>
        <w:t xml:space="preserve"> instigate secretary of state involvement.</w:t>
      </w:r>
    </w:p>
    <w:p w14:paraId="2C816B3F" w14:textId="77777777" w:rsidR="001A24F9" w:rsidRPr="00F44C89" w:rsidRDefault="001A24F9" w:rsidP="00BD4760">
      <w:pPr>
        <w:rPr>
          <w:rFonts w:cs="Arial"/>
          <w:b/>
        </w:rPr>
      </w:pPr>
    </w:p>
    <w:p w14:paraId="2C816B40" w14:textId="77777777" w:rsidR="008770BE" w:rsidRPr="0037228A" w:rsidRDefault="008770BE" w:rsidP="001A24F9">
      <w:pPr>
        <w:rPr>
          <w:rFonts w:cs="Arial"/>
          <w:i/>
          <w:color w:val="4472C4"/>
        </w:rPr>
      </w:pPr>
    </w:p>
    <w:p w14:paraId="2C816B41" w14:textId="77777777" w:rsidR="001A24F9" w:rsidRDefault="001A24F9" w:rsidP="000427E0">
      <w:pPr>
        <w:numPr>
          <w:ilvl w:val="0"/>
          <w:numId w:val="8"/>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14:paraId="2C816B42" w14:textId="77777777" w:rsidR="00911FD5" w:rsidRDefault="00911FD5" w:rsidP="00911FD5">
      <w:pPr>
        <w:ind w:left="567"/>
        <w:rPr>
          <w:rFonts w:cs="Arial"/>
          <w:b/>
        </w:rPr>
      </w:pPr>
    </w:p>
    <w:p w14:paraId="2C816B43" w14:textId="77777777" w:rsidR="001A24F9" w:rsidRPr="00FA2963" w:rsidRDefault="00C72797" w:rsidP="00BE0127">
      <w:pPr>
        <w:numPr>
          <w:ilvl w:val="1"/>
          <w:numId w:val="8"/>
        </w:numPr>
        <w:ind w:left="567" w:hanging="567"/>
        <w:rPr>
          <w:rFonts w:cs="Arial"/>
          <w:b/>
        </w:rPr>
      </w:pPr>
      <w:r>
        <w:rPr>
          <w:rFonts w:cs="Arial"/>
        </w:rPr>
        <w:t>None</w:t>
      </w:r>
    </w:p>
    <w:p w14:paraId="2C816B44" w14:textId="77777777" w:rsidR="008770BE" w:rsidRPr="00BE0127" w:rsidRDefault="008770BE" w:rsidP="008770BE">
      <w:pPr>
        <w:ind w:left="567"/>
        <w:rPr>
          <w:rFonts w:cs="Arial"/>
          <w:b/>
        </w:rPr>
      </w:pPr>
    </w:p>
    <w:p w14:paraId="2C816B45" w14:textId="77777777" w:rsidR="001A24F9" w:rsidRDefault="001A24F9" w:rsidP="000427E0">
      <w:pPr>
        <w:pStyle w:val="ListParagraph"/>
        <w:numPr>
          <w:ilvl w:val="0"/>
          <w:numId w:val="8"/>
        </w:numPr>
        <w:ind w:left="567" w:hanging="567"/>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14:paraId="2C816B46" w14:textId="77777777" w:rsidR="00911FD5" w:rsidRDefault="00911FD5" w:rsidP="00911FD5">
      <w:pPr>
        <w:pStyle w:val="ListParagraph"/>
        <w:ind w:left="567"/>
        <w:rPr>
          <w:rFonts w:ascii="Arial" w:hAnsi="Arial" w:cs="Arial"/>
          <w:b/>
        </w:rPr>
      </w:pPr>
    </w:p>
    <w:p w14:paraId="2C816B47" w14:textId="77777777" w:rsidR="001D407F" w:rsidRDefault="00EB2F5C" w:rsidP="00EB2F5C">
      <w:pPr>
        <w:numPr>
          <w:ilvl w:val="1"/>
          <w:numId w:val="8"/>
        </w:numPr>
        <w:ind w:left="567" w:hanging="567"/>
        <w:rPr>
          <w:rFonts w:cs="Arial"/>
        </w:rPr>
      </w:pPr>
      <w:r w:rsidRPr="00EB2F5C">
        <w:rPr>
          <w:rFonts w:cs="Arial"/>
        </w:rPr>
        <w:t xml:space="preserve">Cabinet to receive this report for information and to note the improving performance of air quality levels and the extensive air quality action plan which is in place as a programme of action moving forwards.  </w:t>
      </w:r>
    </w:p>
    <w:p w14:paraId="2C816B48" w14:textId="77777777" w:rsidR="00EB2F5C" w:rsidRPr="001D407F" w:rsidRDefault="00EB2F5C" w:rsidP="00EB2F5C">
      <w:pPr>
        <w:ind w:left="567"/>
        <w:rPr>
          <w:rFonts w:cs="Arial"/>
        </w:rPr>
      </w:pPr>
    </w:p>
    <w:p w14:paraId="2C816B49" w14:textId="77777777" w:rsidR="000427E0" w:rsidRDefault="001A24F9" w:rsidP="000427E0">
      <w:pPr>
        <w:numPr>
          <w:ilvl w:val="0"/>
          <w:numId w:val="8"/>
        </w:numPr>
        <w:ind w:left="567" w:hanging="567"/>
        <w:rPr>
          <w:rFonts w:cs="Arial"/>
          <w:b/>
        </w:rPr>
      </w:pPr>
      <w:r w:rsidRPr="000A68B2">
        <w:rPr>
          <w:rFonts w:cs="Arial"/>
          <w:b/>
        </w:rPr>
        <w:t>C</w:t>
      </w:r>
      <w:r>
        <w:rPr>
          <w:rFonts w:cs="Arial"/>
          <w:b/>
        </w:rPr>
        <w:t>OMMENTS OF THE STATUTORY FINANCE OFFICE</w:t>
      </w:r>
      <w:r w:rsidR="000427E0">
        <w:rPr>
          <w:rFonts w:cs="Arial"/>
          <w:b/>
        </w:rPr>
        <w:t>R</w:t>
      </w:r>
    </w:p>
    <w:p w14:paraId="2C816B4A" w14:textId="77777777" w:rsidR="00911FD5" w:rsidRPr="000427E0" w:rsidRDefault="00911FD5" w:rsidP="00911FD5">
      <w:pPr>
        <w:ind w:left="567"/>
        <w:rPr>
          <w:rFonts w:cs="Arial"/>
          <w:b/>
        </w:rPr>
      </w:pPr>
    </w:p>
    <w:p w14:paraId="2C816B4B" w14:textId="77777777" w:rsidR="001A24F9" w:rsidRPr="009B67A7" w:rsidRDefault="009B67A7" w:rsidP="00911FD5">
      <w:pPr>
        <w:numPr>
          <w:ilvl w:val="1"/>
          <w:numId w:val="8"/>
        </w:numPr>
        <w:ind w:left="567" w:hanging="567"/>
        <w:rPr>
          <w:rFonts w:cs="Arial"/>
        </w:rPr>
      </w:pPr>
      <w:r>
        <w:rPr>
          <w:rFonts w:cs="Arial"/>
        </w:rPr>
        <w:t xml:space="preserve">There are currently no financial implications identified, but any planned </w:t>
      </w:r>
      <w:r w:rsidRPr="009B67A7">
        <w:rPr>
          <w:rFonts w:cs="Arial"/>
        </w:rPr>
        <w:t>actions</w:t>
      </w:r>
      <w:r>
        <w:rPr>
          <w:rFonts w:cs="Arial"/>
        </w:rPr>
        <w:t xml:space="preserve"> for which the costs cannot be met from existing budgets will require approval in line with the council’s constitution.  </w:t>
      </w:r>
      <w:r w:rsidRPr="009B67A7">
        <w:rPr>
          <w:rFonts w:cs="Arial"/>
        </w:rPr>
        <w:t xml:space="preserve"> </w:t>
      </w:r>
    </w:p>
    <w:p w14:paraId="2C816B4C" w14:textId="77777777" w:rsidR="001A24F9" w:rsidRPr="004206AE" w:rsidRDefault="001A24F9" w:rsidP="001A24F9">
      <w:pPr>
        <w:rPr>
          <w:rFonts w:cs="Arial"/>
          <w:b/>
          <w:i/>
        </w:rPr>
      </w:pPr>
    </w:p>
    <w:p w14:paraId="2C816B4D" w14:textId="77777777" w:rsidR="001A24F9" w:rsidRDefault="001A24F9" w:rsidP="000427E0">
      <w:pPr>
        <w:numPr>
          <w:ilvl w:val="0"/>
          <w:numId w:val="8"/>
        </w:numPr>
        <w:ind w:left="567" w:hanging="567"/>
        <w:rPr>
          <w:rFonts w:cs="Arial"/>
          <w:b/>
        </w:rPr>
      </w:pPr>
      <w:r w:rsidRPr="000A68B2">
        <w:rPr>
          <w:rFonts w:cs="Arial"/>
          <w:b/>
        </w:rPr>
        <w:t>C</w:t>
      </w:r>
      <w:r>
        <w:rPr>
          <w:rFonts w:cs="Arial"/>
          <w:b/>
        </w:rPr>
        <w:t>OMMENTS OF THE MONITORING OFFICER</w:t>
      </w:r>
    </w:p>
    <w:p w14:paraId="2C816B4E" w14:textId="77777777" w:rsidR="00371D89" w:rsidRDefault="00371D89" w:rsidP="00371D89">
      <w:pPr>
        <w:rPr>
          <w:rFonts w:cs="Arial"/>
          <w:b/>
        </w:rPr>
      </w:pPr>
    </w:p>
    <w:p w14:paraId="2C816B4F" w14:textId="77777777" w:rsidR="00371D89" w:rsidRDefault="00371D89" w:rsidP="00371D89">
      <w:pPr>
        <w:rPr>
          <w:rFonts w:cs="Arial"/>
        </w:rPr>
      </w:pPr>
      <w:r w:rsidRPr="00371D89">
        <w:rPr>
          <w:rFonts w:cs="Arial"/>
        </w:rPr>
        <w:t>18.1</w:t>
      </w:r>
      <w:r>
        <w:rPr>
          <w:rFonts w:cs="Arial"/>
        </w:rPr>
        <w:t xml:space="preserve">  The purpose of the report is to update members on the latest information with regard to air quality in    </w:t>
      </w:r>
    </w:p>
    <w:p w14:paraId="2C816B50" w14:textId="77777777" w:rsidR="00371D89" w:rsidRPr="00371D89" w:rsidRDefault="00371D89" w:rsidP="00371D89">
      <w:pPr>
        <w:rPr>
          <w:rFonts w:cs="Arial"/>
        </w:rPr>
      </w:pPr>
      <w:r>
        <w:rPr>
          <w:rFonts w:cs="Arial"/>
        </w:rPr>
        <w:t xml:space="preserve">         the borough. As members are aware the Council has statutory duties to comply within this area.</w:t>
      </w:r>
    </w:p>
    <w:p w14:paraId="2C816B51" w14:textId="77777777" w:rsidR="000427E0" w:rsidRDefault="000427E0" w:rsidP="000427E0">
      <w:pPr>
        <w:ind w:left="567"/>
        <w:rPr>
          <w:rFonts w:cs="Arial"/>
          <w:b/>
        </w:rPr>
      </w:pPr>
    </w:p>
    <w:p w14:paraId="2C816B52" w14:textId="77777777" w:rsidR="001A24F9" w:rsidRDefault="009567DA" w:rsidP="000427E0">
      <w:pPr>
        <w:numPr>
          <w:ilvl w:val="0"/>
          <w:numId w:val="8"/>
        </w:numPr>
        <w:ind w:left="567" w:hanging="567"/>
        <w:rPr>
          <w:rFonts w:cs="Arial"/>
          <w:b/>
        </w:rPr>
      </w:pPr>
      <w:r>
        <w:rPr>
          <w:rFonts w:cs="Arial"/>
          <w:b/>
        </w:rPr>
        <w:t xml:space="preserve">BACKGROUND DOCUMENTS </w:t>
      </w:r>
    </w:p>
    <w:p w14:paraId="2C816B53" w14:textId="77777777" w:rsidR="00C72797" w:rsidRDefault="00C72797" w:rsidP="00C72797">
      <w:pPr>
        <w:ind w:left="567"/>
        <w:rPr>
          <w:rFonts w:cs="Arial"/>
          <w:b/>
        </w:rPr>
      </w:pPr>
    </w:p>
    <w:p w14:paraId="2C816B54" w14:textId="77777777" w:rsidR="00C72797" w:rsidRDefault="00C72797" w:rsidP="00C72797">
      <w:pPr>
        <w:pStyle w:val="ListParagraph"/>
        <w:numPr>
          <w:ilvl w:val="1"/>
          <w:numId w:val="8"/>
        </w:numPr>
        <w:jc w:val="both"/>
        <w:rPr>
          <w:rFonts w:ascii="Arial" w:hAnsi="Arial" w:cs="Arial"/>
        </w:rPr>
      </w:pPr>
      <w:r>
        <w:rPr>
          <w:rFonts w:ascii="Arial" w:hAnsi="Arial" w:cs="Arial"/>
        </w:rPr>
        <w:t>Air Quality Management Order, No. 5 – Leyland</w:t>
      </w:r>
    </w:p>
    <w:p w14:paraId="2C816B55" w14:textId="77777777" w:rsidR="00C72797" w:rsidRDefault="00C72797" w:rsidP="00C72797">
      <w:pPr>
        <w:pStyle w:val="ListParagraph"/>
        <w:numPr>
          <w:ilvl w:val="1"/>
          <w:numId w:val="8"/>
        </w:numPr>
        <w:jc w:val="both"/>
        <w:rPr>
          <w:rFonts w:ascii="Arial" w:hAnsi="Arial" w:cs="Arial"/>
        </w:rPr>
      </w:pPr>
      <w:r>
        <w:rPr>
          <w:rFonts w:ascii="Arial" w:hAnsi="Arial" w:cs="Arial"/>
        </w:rPr>
        <w:t>South Ribble Borough Council Annual Status Report 2017</w:t>
      </w:r>
    </w:p>
    <w:p w14:paraId="2C816B56" w14:textId="77777777" w:rsidR="00C72797" w:rsidRDefault="00C72797" w:rsidP="00C72797">
      <w:pPr>
        <w:pStyle w:val="ListParagraph"/>
        <w:numPr>
          <w:ilvl w:val="1"/>
          <w:numId w:val="8"/>
        </w:numPr>
        <w:jc w:val="both"/>
        <w:rPr>
          <w:rFonts w:ascii="Arial" w:hAnsi="Arial" w:cs="Arial"/>
        </w:rPr>
      </w:pPr>
      <w:r>
        <w:rPr>
          <w:rFonts w:ascii="Arial" w:hAnsi="Arial" w:cs="Arial"/>
        </w:rPr>
        <w:t>Environment Act 1995</w:t>
      </w:r>
    </w:p>
    <w:p w14:paraId="2C816B57" w14:textId="77777777" w:rsidR="00C72797" w:rsidRDefault="00C72797" w:rsidP="00C72797">
      <w:pPr>
        <w:pStyle w:val="ListParagraph"/>
        <w:numPr>
          <w:ilvl w:val="1"/>
          <w:numId w:val="8"/>
        </w:numPr>
        <w:jc w:val="both"/>
        <w:rPr>
          <w:rFonts w:ascii="Arial" w:hAnsi="Arial" w:cs="Arial"/>
        </w:rPr>
      </w:pPr>
      <w:r>
        <w:rPr>
          <w:rFonts w:ascii="Arial" w:hAnsi="Arial" w:cs="Arial"/>
        </w:rPr>
        <w:t>Corporate Plan 2018-2023</w:t>
      </w:r>
    </w:p>
    <w:p w14:paraId="2C816B58" w14:textId="77777777" w:rsidR="00C72797" w:rsidRDefault="00C72797" w:rsidP="00C72797">
      <w:pPr>
        <w:pStyle w:val="ListParagraph"/>
        <w:numPr>
          <w:ilvl w:val="1"/>
          <w:numId w:val="8"/>
        </w:numPr>
        <w:jc w:val="both"/>
        <w:rPr>
          <w:rFonts w:ascii="Arial" w:hAnsi="Arial" w:cs="Arial"/>
        </w:rPr>
      </w:pPr>
      <w:r>
        <w:rPr>
          <w:rFonts w:ascii="Arial" w:hAnsi="Arial" w:cs="Arial"/>
        </w:rPr>
        <w:t>Local Air Quality Management PG(16)</w:t>
      </w:r>
    </w:p>
    <w:p w14:paraId="2C816B59" w14:textId="77777777" w:rsidR="006E30F2" w:rsidRDefault="006E30F2" w:rsidP="00C72797">
      <w:pPr>
        <w:pStyle w:val="ListParagraph"/>
        <w:numPr>
          <w:ilvl w:val="1"/>
          <w:numId w:val="8"/>
        </w:numPr>
        <w:jc w:val="both"/>
        <w:rPr>
          <w:rFonts w:ascii="Arial" w:hAnsi="Arial" w:cs="Arial"/>
        </w:rPr>
      </w:pPr>
      <w:r>
        <w:rPr>
          <w:rFonts w:ascii="Arial" w:hAnsi="Arial" w:cs="Arial"/>
        </w:rPr>
        <w:t>Air Quality Action Plan 2018</w:t>
      </w:r>
    </w:p>
    <w:p w14:paraId="2C816B5A" w14:textId="77777777" w:rsidR="00911FD5" w:rsidRDefault="00911FD5" w:rsidP="00911FD5">
      <w:pPr>
        <w:ind w:left="567"/>
        <w:rPr>
          <w:rFonts w:cs="Arial"/>
          <w:b/>
        </w:rPr>
      </w:pPr>
    </w:p>
    <w:p w14:paraId="2C816B5B" w14:textId="77777777" w:rsidR="004C2F94" w:rsidRPr="00970C70" w:rsidRDefault="004C2F94" w:rsidP="004C2F94">
      <w:pPr>
        <w:ind w:left="720"/>
        <w:rPr>
          <w:rFonts w:cs="Arial"/>
          <w:b/>
          <w:color w:val="2E74B5" w:themeColor="accent1" w:themeShade="BF"/>
        </w:rPr>
      </w:pPr>
    </w:p>
    <w:p w14:paraId="2C816B5C" w14:textId="77777777" w:rsidR="004C2F94" w:rsidRPr="004C2F94" w:rsidRDefault="004C2F94" w:rsidP="004C2F94">
      <w:pPr>
        <w:rPr>
          <w:b/>
        </w:rPr>
      </w:pPr>
      <w:r w:rsidRPr="000828CC">
        <w:rPr>
          <w:b/>
        </w:rPr>
        <w:t>21.</w:t>
      </w:r>
      <w:r w:rsidRPr="000828CC">
        <w:rPr>
          <w:b/>
          <w:color w:val="0070C0"/>
        </w:rPr>
        <w:tab/>
      </w:r>
      <w:r w:rsidR="009567DA">
        <w:rPr>
          <w:b/>
        </w:rPr>
        <w:t xml:space="preserve">APPENDICES </w:t>
      </w:r>
    </w:p>
    <w:p w14:paraId="2C816B5D" w14:textId="77777777" w:rsidR="004C2F94" w:rsidRPr="004C2F94" w:rsidRDefault="004C2F94" w:rsidP="004C2F94">
      <w:pPr>
        <w:rPr>
          <w:rFonts w:cs="Arial"/>
          <w:b/>
        </w:rPr>
      </w:pPr>
    </w:p>
    <w:p w14:paraId="2C816B5E" w14:textId="77777777" w:rsidR="0037228A" w:rsidRDefault="00155DCA" w:rsidP="00155DCA">
      <w:pPr>
        <w:ind w:left="720" w:hanging="720"/>
        <w:rPr>
          <w:rFonts w:cs="Arial"/>
        </w:rPr>
      </w:pPr>
      <w:r>
        <w:rPr>
          <w:rFonts w:cs="Arial"/>
        </w:rPr>
        <w:t xml:space="preserve">Appendix A </w:t>
      </w:r>
      <w:r w:rsidRPr="00155DCA">
        <w:rPr>
          <w:rFonts w:cs="Arial"/>
        </w:rPr>
        <w:t>NO2 Annual Mean Concentrations for all monitoring locations 2013 -2017.</w:t>
      </w:r>
    </w:p>
    <w:p w14:paraId="2C816B5F" w14:textId="77777777" w:rsidR="00155DCA" w:rsidRDefault="00155DCA" w:rsidP="00155DCA">
      <w:pPr>
        <w:ind w:left="720" w:hanging="720"/>
        <w:rPr>
          <w:rFonts w:cs="Arial"/>
        </w:rPr>
      </w:pPr>
      <w:r>
        <w:rPr>
          <w:rFonts w:cs="Arial"/>
        </w:rPr>
        <w:t xml:space="preserve">Appendix B </w:t>
      </w:r>
      <w:r w:rsidRPr="00155DCA">
        <w:rPr>
          <w:rFonts w:cs="Arial"/>
        </w:rPr>
        <w:t>Progress on measures to improve Air Quality</w:t>
      </w:r>
      <w:r>
        <w:rPr>
          <w:rFonts w:cs="Arial"/>
        </w:rPr>
        <w:t xml:space="preserve"> completed.</w:t>
      </w:r>
    </w:p>
    <w:p w14:paraId="2C816B60" w14:textId="77777777" w:rsidR="00155DCA" w:rsidRDefault="00155DCA" w:rsidP="00155DCA">
      <w:pPr>
        <w:ind w:left="720" w:hanging="720"/>
        <w:rPr>
          <w:rFonts w:cs="Arial"/>
        </w:rPr>
      </w:pPr>
      <w:r>
        <w:rPr>
          <w:rFonts w:cs="Arial"/>
        </w:rPr>
        <w:t>Appendix C I</w:t>
      </w:r>
      <w:r w:rsidRPr="00155DCA">
        <w:rPr>
          <w:rFonts w:cs="Arial"/>
        </w:rPr>
        <w:t>dentified measures which are in the process of being competed.</w:t>
      </w:r>
    </w:p>
    <w:p w14:paraId="2C816B61" w14:textId="77777777" w:rsidR="00155DCA" w:rsidRPr="009D3E4A" w:rsidRDefault="00155DCA" w:rsidP="00C72797">
      <w:pPr>
        <w:ind w:left="720" w:hanging="720"/>
        <w:rPr>
          <w:rFonts w:cs="Arial"/>
        </w:rPr>
      </w:pPr>
    </w:p>
    <w:p w14:paraId="2C816B62" w14:textId="77777777" w:rsidR="0037228A" w:rsidRDefault="0037228A" w:rsidP="0037228A">
      <w:pPr>
        <w:tabs>
          <w:tab w:val="left" w:pos="2839"/>
        </w:tabs>
        <w:ind w:left="1146"/>
        <w:rPr>
          <w:b/>
        </w:rPr>
      </w:pPr>
    </w:p>
    <w:p w14:paraId="2C816B63" w14:textId="77777777" w:rsidR="0037228A" w:rsidRDefault="0037228A" w:rsidP="0037228A">
      <w:pPr>
        <w:tabs>
          <w:tab w:val="left" w:pos="2839"/>
        </w:tabs>
        <w:ind w:left="1146"/>
        <w:rPr>
          <w:b/>
        </w:rPr>
      </w:pPr>
    </w:p>
    <w:p w14:paraId="2C816B64" w14:textId="77777777" w:rsidR="0037228A" w:rsidRPr="009D3E4A" w:rsidRDefault="009D3E4A" w:rsidP="0037228A">
      <w:pPr>
        <w:tabs>
          <w:tab w:val="left" w:pos="2839"/>
        </w:tabs>
        <w:ind w:left="426" w:hanging="426"/>
        <w:rPr>
          <w:rFonts w:cs="Arial"/>
        </w:rPr>
      </w:pPr>
      <w:r w:rsidRPr="009D3E4A">
        <w:rPr>
          <w:rFonts w:cs="Arial"/>
        </w:rPr>
        <w:t>Jennifer Mullin</w:t>
      </w:r>
      <w:r w:rsidR="00621D7D" w:rsidRPr="009D3E4A">
        <w:rPr>
          <w:rFonts w:cs="Arial"/>
        </w:rPr>
        <w:t>:</w:t>
      </w:r>
    </w:p>
    <w:p w14:paraId="2C816B65" w14:textId="77777777" w:rsidR="0037228A" w:rsidRPr="009D3E4A" w:rsidRDefault="009D3E4A" w:rsidP="0037228A">
      <w:pPr>
        <w:tabs>
          <w:tab w:val="left" w:pos="2839"/>
        </w:tabs>
        <w:rPr>
          <w:rFonts w:cs="Arial"/>
        </w:rPr>
      </w:pPr>
      <w:r w:rsidRPr="009D3E4A">
        <w:rPr>
          <w:rFonts w:cs="Arial"/>
        </w:rPr>
        <w:t>Director of Neighbourhoods &amp; Developments</w:t>
      </w:r>
      <w:r w:rsidR="00A162DE" w:rsidRPr="009D3E4A">
        <w:rPr>
          <w:rFonts w:cs="Arial"/>
        </w:rPr>
        <w:t xml:space="preserve"> </w:t>
      </w:r>
    </w:p>
    <w:p w14:paraId="2C816B66" w14:textId="77777777"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559"/>
        <w:gridCol w:w="2380"/>
      </w:tblGrid>
      <w:tr w:rsidR="0037228A" w14:paraId="2C816B6A" w14:textId="77777777" w:rsidTr="0031059E">
        <w:tc>
          <w:tcPr>
            <w:tcW w:w="5700" w:type="dxa"/>
            <w:shd w:val="clear" w:color="auto" w:fill="auto"/>
          </w:tcPr>
          <w:p w14:paraId="2C816B67" w14:textId="77777777" w:rsidR="0037228A" w:rsidRPr="0031059E" w:rsidRDefault="0037228A" w:rsidP="0031059E">
            <w:pPr>
              <w:rPr>
                <w:rFonts w:cs="Arial"/>
              </w:rPr>
            </w:pPr>
            <w:r w:rsidRPr="0031059E">
              <w:rPr>
                <w:rFonts w:cs="Arial"/>
              </w:rPr>
              <w:t>Report Author:</w:t>
            </w:r>
          </w:p>
        </w:tc>
        <w:tc>
          <w:tcPr>
            <w:tcW w:w="1559" w:type="dxa"/>
            <w:shd w:val="clear" w:color="auto" w:fill="auto"/>
          </w:tcPr>
          <w:p w14:paraId="2C816B68"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2C816B69" w14:textId="77777777" w:rsidR="0037228A" w:rsidRPr="0031059E" w:rsidRDefault="0037228A" w:rsidP="0031059E">
            <w:pPr>
              <w:rPr>
                <w:rFonts w:cs="Arial"/>
              </w:rPr>
            </w:pPr>
            <w:r w:rsidRPr="0031059E">
              <w:rPr>
                <w:rFonts w:cs="Arial"/>
              </w:rPr>
              <w:t>Date:</w:t>
            </w:r>
          </w:p>
        </w:tc>
      </w:tr>
      <w:tr w:rsidR="0037228A" w14:paraId="2C816B6F" w14:textId="77777777" w:rsidTr="0031059E">
        <w:tc>
          <w:tcPr>
            <w:tcW w:w="5700" w:type="dxa"/>
            <w:shd w:val="clear" w:color="auto" w:fill="auto"/>
          </w:tcPr>
          <w:p w14:paraId="2C816B6B" w14:textId="77777777" w:rsidR="0037228A" w:rsidRPr="009D3E4A" w:rsidRDefault="009567DA" w:rsidP="0031059E">
            <w:pPr>
              <w:rPr>
                <w:rFonts w:cs="Arial"/>
              </w:rPr>
            </w:pPr>
            <w:r>
              <w:rPr>
                <w:rFonts w:cs="Arial"/>
              </w:rPr>
              <w:t>Neil Martin, Senior Environmental Health Officer</w:t>
            </w:r>
          </w:p>
          <w:p w14:paraId="2C816B6C" w14:textId="77777777" w:rsidR="0037228A" w:rsidRPr="0031059E" w:rsidRDefault="0037228A" w:rsidP="0031059E">
            <w:pPr>
              <w:ind w:left="-539" w:firstLine="539"/>
              <w:rPr>
                <w:rFonts w:cs="Arial"/>
              </w:rPr>
            </w:pPr>
          </w:p>
        </w:tc>
        <w:tc>
          <w:tcPr>
            <w:tcW w:w="1559" w:type="dxa"/>
            <w:shd w:val="clear" w:color="auto" w:fill="auto"/>
          </w:tcPr>
          <w:p w14:paraId="2C816B6D" w14:textId="77777777" w:rsidR="0037228A" w:rsidRPr="0031059E" w:rsidRDefault="00621D7D" w:rsidP="009D3E4A">
            <w:pPr>
              <w:rPr>
                <w:rFonts w:cs="Arial"/>
              </w:rPr>
            </w:pPr>
            <w:r>
              <w:rPr>
                <w:rFonts w:cs="Arial"/>
              </w:rPr>
              <w:t>01772 62</w:t>
            </w:r>
            <w:r w:rsidR="009D3E4A">
              <w:rPr>
                <w:rFonts w:cs="Arial"/>
              </w:rPr>
              <w:t>5329</w:t>
            </w:r>
          </w:p>
        </w:tc>
        <w:tc>
          <w:tcPr>
            <w:tcW w:w="2380" w:type="dxa"/>
            <w:shd w:val="clear" w:color="auto" w:fill="auto"/>
          </w:tcPr>
          <w:p w14:paraId="2C816B6E" w14:textId="77777777" w:rsidR="0037228A" w:rsidRPr="0031059E" w:rsidRDefault="00445FAD" w:rsidP="0031059E">
            <w:pPr>
              <w:rPr>
                <w:rFonts w:cs="Arial"/>
              </w:rPr>
            </w:pPr>
            <w:r>
              <w:rPr>
                <w:rFonts w:cs="Arial"/>
              </w:rPr>
              <w:t>8</w:t>
            </w:r>
            <w:r w:rsidRPr="00445FAD">
              <w:rPr>
                <w:rFonts w:cs="Arial"/>
                <w:vertAlign w:val="superscript"/>
              </w:rPr>
              <w:t>th</w:t>
            </w:r>
            <w:r>
              <w:rPr>
                <w:rFonts w:cs="Arial"/>
              </w:rPr>
              <w:t xml:space="preserve"> March 2019</w:t>
            </w:r>
          </w:p>
        </w:tc>
      </w:tr>
    </w:tbl>
    <w:p w14:paraId="2C816B70" w14:textId="77777777" w:rsidR="002F5C5E" w:rsidRDefault="002F5C5E" w:rsidP="004C2F94">
      <w:pPr>
        <w:rPr>
          <w:rFonts w:cs="Arial"/>
        </w:rPr>
      </w:pPr>
    </w:p>
    <w:p w14:paraId="2C816B71" w14:textId="77777777" w:rsidR="00E56ABF" w:rsidRDefault="00E56ABF" w:rsidP="004C2F94">
      <w:pPr>
        <w:rPr>
          <w:rFonts w:cs="Arial"/>
        </w:rPr>
      </w:pPr>
    </w:p>
    <w:p w14:paraId="2C816B72" w14:textId="77777777" w:rsidR="00E56ABF" w:rsidRDefault="00E56ABF" w:rsidP="004C2F94">
      <w:pPr>
        <w:rPr>
          <w:rFonts w:cs="Arial"/>
        </w:rPr>
      </w:pPr>
    </w:p>
    <w:p w14:paraId="2C816B73" w14:textId="77777777" w:rsidR="00E56ABF" w:rsidRDefault="00E56ABF" w:rsidP="004C2F94">
      <w:pPr>
        <w:rPr>
          <w:rFonts w:cs="Arial"/>
        </w:rPr>
      </w:pPr>
    </w:p>
    <w:p w14:paraId="2C816B74" w14:textId="77777777" w:rsidR="00E56ABF" w:rsidRDefault="00E56ABF" w:rsidP="004C2F94">
      <w:pPr>
        <w:rPr>
          <w:rFonts w:cs="Arial"/>
        </w:rPr>
      </w:pPr>
    </w:p>
    <w:p w14:paraId="2C816B75" w14:textId="77777777" w:rsidR="00E56ABF" w:rsidRDefault="00E56ABF" w:rsidP="004C2F94">
      <w:pPr>
        <w:rPr>
          <w:rFonts w:cs="Arial"/>
        </w:rPr>
      </w:pPr>
    </w:p>
    <w:p w14:paraId="2C816B76" w14:textId="77777777" w:rsidR="00E56ABF" w:rsidRDefault="00E56ABF" w:rsidP="004C2F94">
      <w:pPr>
        <w:rPr>
          <w:rFonts w:cs="Arial"/>
        </w:rPr>
      </w:pPr>
    </w:p>
    <w:p w14:paraId="2C816B77" w14:textId="77777777" w:rsidR="00E56ABF" w:rsidRDefault="00E56ABF" w:rsidP="004C2F94">
      <w:pPr>
        <w:rPr>
          <w:rFonts w:cs="Arial"/>
        </w:rPr>
      </w:pPr>
    </w:p>
    <w:p w14:paraId="2C816B78" w14:textId="77777777" w:rsidR="00E56ABF" w:rsidRDefault="00E56ABF" w:rsidP="004C2F94">
      <w:pPr>
        <w:rPr>
          <w:rFonts w:cs="Arial"/>
        </w:rPr>
      </w:pPr>
    </w:p>
    <w:p w14:paraId="2C816B79" w14:textId="77777777" w:rsidR="00956670" w:rsidRDefault="00956670" w:rsidP="004C2F94">
      <w:pPr>
        <w:rPr>
          <w:rFonts w:cs="Arial"/>
        </w:rPr>
      </w:pPr>
    </w:p>
    <w:p w14:paraId="2C816B7A" w14:textId="77777777" w:rsidR="00E56ABF" w:rsidRPr="004D5836" w:rsidRDefault="00E56ABF" w:rsidP="004C2F94">
      <w:pPr>
        <w:rPr>
          <w:rFonts w:cs="Arial"/>
        </w:rPr>
      </w:pPr>
      <w:r w:rsidRPr="00155DCA">
        <w:rPr>
          <w:rFonts w:cs="Arial"/>
          <w:b/>
        </w:rPr>
        <w:t>Appendix A</w:t>
      </w:r>
      <w:r w:rsidR="00155DCA" w:rsidRPr="00155DCA">
        <w:rPr>
          <w:rFonts w:cs="Arial"/>
          <w:b/>
        </w:rPr>
        <w:t xml:space="preserve"> NO2 Annual Mean Concentrations for all monitoring locations 2013 -2017. </w:t>
      </w:r>
    </w:p>
    <w:p w14:paraId="2C816B7B" w14:textId="77777777" w:rsidR="00E56ABF" w:rsidRDefault="00E56ABF" w:rsidP="004C2F94">
      <w:pPr>
        <w:rPr>
          <w:rFonts w:cs="Arial"/>
        </w:rPr>
      </w:pPr>
    </w:p>
    <w:p w14:paraId="2C816B7C" w14:textId="77777777" w:rsidR="00E56ABF" w:rsidRDefault="00E56ABF" w:rsidP="004C2F94">
      <w:pPr>
        <w:rPr>
          <w:rFonts w:cs="Arial"/>
        </w:rPr>
      </w:pPr>
    </w:p>
    <w:tbl>
      <w:tblPr>
        <w:tblW w:w="9320" w:type="dxa"/>
        <w:tblInd w:w="99" w:type="dxa"/>
        <w:tblLook w:val="04A0" w:firstRow="1" w:lastRow="0" w:firstColumn="1" w:lastColumn="0" w:noHBand="0" w:noVBand="1"/>
      </w:tblPr>
      <w:tblGrid>
        <w:gridCol w:w="1794"/>
        <w:gridCol w:w="1391"/>
        <w:gridCol w:w="1353"/>
        <w:gridCol w:w="849"/>
        <w:gridCol w:w="937"/>
        <w:gridCol w:w="849"/>
        <w:gridCol w:w="849"/>
        <w:gridCol w:w="1298"/>
      </w:tblGrid>
      <w:tr w:rsidR="00E56ABF" w:rsidRPr="00E56ABF" w14:paraId="2C816B81" w14:textId="77777777" w:rsidTr="009A064D">
        <w:trPr>
          <w:trHeight w:val="572"/>
        </w:trPr>
        <w:tc>
          <w:tcPr>
            <w:tcW w:w="1794"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2C816B7D" w14:textId="77777777" w:rsidR="00E56ABF" w:rsidRPr="00E56ABF" w:rsidRDefault="00E56ABF" w:rsidP="00E56ABF">
            <w:pPr>
              <w:rPr>
                <w:rFonts w:cs="Arial"/>
                <w:b/>
                <w:bCs/>
              </w:rPr>
            </w:pPr>
            <w:r w:rsidRPr="00E56ABF">
              <w:rPr>
                <w:rFonts w:cs="Arial"/>
                <w:b/>
                <w:bCs/>
              </w:rPr>
              <w:t>Site ID</w:t>
            </w:r>
          </w:p>
        </w:tc>
        <w:tc>
          <w:tcPr>
            <w:tcW w:w="1391"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2C816B7E" w14:textId="77777777" w:rsidR="00E56ABF" w:rsidRPr="00E56ABF" w:rsidRDefault="00E56ABF" w:rsidP="00E56ABF">
            <w:pPr>
              <w:rPr>
                <w:rFonts w:cs="Arial"/>
                <w:b/>
                <w:bCs/>
              </w:rPr>
            </w:pPr>
            <w:r w:rsidRPr="00E56ABF">
              <w:rPr>
                <w:rFonts w:cs="Arial"/>
                <w:b/>
                <w:bCs/>
              </w:rPr>
              <w:t>Site Type</w:t>
            </w:r>
          </w:p>
        </w:tc>
        <w:tc>
          <w:tcPr>
            <w:tcW w:w="1353"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2C816B7F" w14:textId="77777777" w:rsidR="00E56ABF" w:rsidRPr="00E56ABF" w:rsidRDefault="00E56ABF" w:rsidP="00E56ABF">
            <w:pPr>
              <w:rPr>
                <w:rFonts w:cs="Arial"/>
                <w:b/>
                <w:bCs/>
              </w:rPr>
            </w:pPr>
            <w:r w:rsidRPr="00E56ABF">
              <w:rPr>
                <w:rFonts w:cs="Arial"/>
                <w:b/>
                <w:bCs/>
              </w:rPr>
              <w:t>Monitoring Type</w:t>
            </w:r>
          </w:p>
        </w:tc>
        <w:tc>
          <w:tcPr>
            <w:tcW w:w="4782" w:type="dxa"/>
            <w:gridSpan w:val="5"/>
            <w:tcBorders>
              <w:top w:val="single" w:sz="8" w:space="0" w:color="auto"/>
              <w:left w:val="nil"/>
              <w:bottom w:val="single" w:sz="8" w:space="0" w:color="auto"/>
              <w:right w:val="single" w:sz="8" w:space="0" w:color="000000"/>
            </w:tcBorders>
            <w:shd w:val="clear" w:color="000000" w:fill="00AF41"/>
            <w:vAlign w:val="center"/>
            <w:hideMark/>
          </w:tcPr>
          <w:p w14:paraId="2C816B80" w14:textId="77777777" w:rsidR="00E56ABF" w:rsidRPr="00E56ABF" w:rsidRDefault="00E56ABF" w:rsidP="00E56ABF">
            <w:pPr>
              <w:rPr>
                <w:rFonts w:cs="Arial"/>
                <w:b/>
                <w:bCs/>
              </w:rPr>
            </w:pPr>
            <w:r w:rsidRPr="00E56ABF">
              <w:rPr>
                <w:rFonts w:cs="Arial"/>
                <w:b/>
                <w:bCs/>
              </w:rPr>
              <w:t>NO</w:t>
            </w:r>
            <w:r w:rsidRPr="00E56ABF">
              <w:rPr>
                <w:rFonts w:cs="Arial"/>
                <w:b/>
                <w:bCs/>
                <w:vertAlign w:val="subscript"/>
              </w:rPr>
              <w:t>2</w:t>
            </w:r>
            <w:r w:rsidRPr="00E56ABF">
              <w:rPr>
                <w:rFonts w:cs="Arial"/>
                <w:b/>
                <w:bCs/>
              </w:rPr>
              <w:t xml:space="preserve"> Annual Mean Concentration (µg/m</w:t>
            </w:r>
            <w:r w:rsidRPr="00E56ABF">
              <w:rPr>
                <w:rFonts w:cs="Arial"/>
                <w:b/>
                <w:bCs/>
                <w:vertAlign w:val="superscript"/>
              </w:rPr>
              <w:t>3</w:t>
            </w:r>
            <w:r w:rsidRPr="00E56ABF">
              <w:rPr>
                <w:rFonts w:cs="Arial"/>
                <w:b/>
                <w:bCs/>
              </w:rPr>
              <w:t xml:space="preserve">) </w:t>
            </w:r>
            <w:r w:rsidRPr="00E56ABF">
              <w:rPr>
                <w:rFonts w:cs="Arial"/>
                <w:b/>
                <w:bCs/>
                <w:vertAlign w:val="superscript"/>
              </w:rPr>
              <w:t>(3)</w:t>
            </w:r>
          </w:p>
        </w:tc>
      </w:tr>
      <w:tr w:rsidR="009A064D" w:rsidRPr="00E56ABF" w14:paraId="2C816B8A" w14:textId="77777777" w:rsidTr="009A064D">
        <w:trPr>
          <w:trHeight w:val="572"/>
        </w:trPr>
        <w:tc>
          <w:tcPr>
            <w:tcW w:w="1794" w:type="dxa"/>
            <w:vMerge/>
            <w:tcBorders>
              <w:top w:val="single" w:sz="8" w:space="0" w:color="auto"/>
              <w:left w:val="single" w:sz="8" w:space="0" w:color="auto"/>
              <w:bottom w:val="single" w:sz="8" w:space="0" w:color="000000"/>
              <w:right w:val="single" w:sz="8" w:space="0" w:color="auto"/>
            </w:tcBorders>
            <w:vAlign w:val="center"/>
            <w:hideMark/>
          </w:tcPr>
          <w:p w14:paraId="2C816B82" w14:textId="77777777" w:rsidR="00E56ABF" w:rsidRPr="00E56ABF" w:rsidRDefault="00E56ABF" w:rsidP="00E56ABF">
            <w:pPr>
              <w:rPr>
                <w:rFonts w:cs="Arial"/>
                <w:b/>
                <w:bCs/>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14:paraId="2C816B83" w14:textId="77777777" w:rsidR="00E56ABF" w:rsidRPr="00E56ABF" w:rsidRDefault="00E56ABF" w:rsidP="00E56ABF">
            <w:pPr>
              <w:rPr>
                <w:rFonts w:cs="Arial"/>
                <w:b/>
                <w:bCs/>
              </w:rPr>
            </w:pPr>
          </w:p>
        </w:tc>
        <w:tc>
          <w:tcPr>
            <w:tcW w:w="1353" w:type="dxa"/>
            <w:vMerge/>
            <w:tcBorders>
              <w:top w:val="single" w:sz="8" w:space="0" w:color="auto"/>
              <w:left w:val="single" w:sz="8" w:space="0" w:color="auto"/>
              <w:bottom w:val="single" w:sz="8" w:space="0" w:color="000000"/>
              <w:right w:val="single" w:sz="8" w:space="0" w:color="auto"/>
            </w:tcBorders>
            <w:vAlign w:val="center"/>
            <w:hideMark/>
          </w:tcPr>
          <w:p w14:paraId="2C816B84" w14:textId="77777777" w:rsidR="00E56ABF" w:rsidRPr="00E56ABF" w:rsidRDefault="00E56ABF" w:rsidP="00E56ABF">
            <w:pPr>
              <w:rPr>
                <w:rFonts w:cs="Arial"/>
                <w:b/>
                <w:bCs/>
              </w:rPr>
            </w:pPr>
          </w:p>
        </w:tc>
        <w:tc>
          <w:tcPr>
            <w:tcW w:w="849" w:type="dxa"/>
            <w:tcBorders>
              <w:top w:val="nil"/>
              <w:left w:val="nil"/>
              <w:bottom w:val="single" w:sz="8" w:space="0" w:color="auto"/>
              <w:right w:val="single" w:sz="8" w:space="0" w:color="auto"/>
            </w:tcBorders>
            <w:shd w:val="clear" w:color="000000" w:fill="00AF41"/>
            <w:vAlign w:val="center"/>
            <w:hideMark/>
          </w:tcPr>
          <w:p w14:paraId="2C816B85" w14:textId="77777777" w:rsidR="00E56ABF" w:rsidRPr="00E56ABF" w:rsidRDefault="00E56ABF" w:rsidP="009A064D">
            <w:pPr>
              <w:jc w:val="center"/>
              <w:rPr>
                <w:rFonts w:cs="Arial"/>
                <w:b/>
                <w:bCs/>
              </w:rPr>
            </w:pPr>
            <w:r w:rsidRPr="00E56ABF">
              <w:rPr>
                <w:rFonts w:cs="Arial"/>
                <w:b/>
                <w:bCs/>
              </w:rPr>
              <w:t>2013</w:t>
            </w:r>
          </w:p>
        </w:tc>
        <w:tc>
          <w:tcPr>
            <w:tcW w:w="937" w:type="dxa"/>
            <w:tcBorders>
              <w:top w:val="nil"/>
              <w:left w:val="nil"/>
              <w:bottom w:val="single" w:sz="8" w:space="0" w:color="auto"/>
              <w:right w:val="single" w:sz="8" w:space="0" w:color="auto"/>
            </w:tcBorders>
            <w:shd w:val="clear" w:color="000000" w:fill="00AF41"/>
            <w:vAlign w:val="center"/>
            <w:hideMark/>
          </w:tcPr>
          <w:p w14:paraId="2C816B86" w14:textId="77777777" w:rsidR="00E56ABF" w:rsidRPr="00E56ABF" w:rsidRDefault="00E56ABF" w:rsidP="009A064D">
            <w:pPr>
              <w:jc w:val="center"/>
              <w:rPr>
                <w:rFonts w:cs="Arial"/>
                <w:b/>
                <w:bCs/>
              </w:rPr>
            </w:pPr>
            <w:r w:rsidRPr="00E56ABF">
              <w:rPr>
                <w:rFonts w:cs="Arial"/>
                <w:b/>
                <w:bCs/>
              </w:rPr>
              <w:t>2014</w:t>
            </w:r>
          </w:p>
        </w:tc>
        <w:tc>
          <w:tcPr>
            <w:tcW w:w="849" w:type="dxa"/>
            <w:tcBorders>
              <w:top w:val="nil"/>
              <w:left w:val="nil"/>
              <w:bottom w:val="single" w:sz="8" w:space="0" w:color="auto"/>
              <w:right w:val="single" w:sz="8" w:space="0" w:color="auto"/>
            </w:tcBorders>
            <w:shd w:val="clear" w:color="000000" w:fill="00AF41"/>
            <w:vAlign w:val="center"/>
            <w:hideMark/>
          </w:tcPr>
          <w:p w14:paraId="2C816B87" w14:textId="77777777" w:rsidR="00E56ABF" w:rsidRPr="00E56ABF" w:rsidRDefault="00E56ABF" w:rsidP="009A064D">
            <w:pPr>
              <w:jc w:val="center"/>
              <w:rPr>
                <w:rFonts w:cs="Arial"/>
                <w:b/>
                <w:bCs/>
              </w:rPr>
            </w:pPr>
            <w:r w:rsidRPr="00E56ABF">
              <w:rPr>
                <w:rFonts w:cs="Arial"/>
                <w:b/>
                <w:bCs/>
              </w:rPr>
              <w:t>2015</w:t>
            </w:r>
          </w:p>
        </w:tc>
        <w:tc>
          <w:tcPr>
            <w:tcW w:w="849" w:type="dxa"/>
            <w:tcBorders>
              <w:top w:val="nil"/>
              <w:left w:val="nil"/>
              <w:bottom w:val="single" w:sz="8" w:space="0" w:color="auto"/>
              <w:right w:val="single" w:sz="8" w:space="0" w:color="auto"/>
            </w:tcBorders>
            <w:shd w:val="clear" w:color="000000" w:fill="00AF41"/>
            <w:vAlign w:val="center"/>
            <w:hideMark/>
          </w:tcPr>
          <w:p w14:paraId="2C816B88" w14:textId="77777777" w:rsidR="00E56ABF" w:rsidRPr="00E56ABF" w:rsidRDefault="00E56ABF" w:rsidP="009A064D">
            <w:pPr>
              <w:jc w:val="center"/>
              <w:rPr>
                <w:rFonts w:cs="Arial"/>
                <w:b/>
                <w:bCs/>
              </w:rPr>
            </w:pPr>
            <w:r w:rsidRPr="00E56ABF">
              <w:rPr>
                <w:rFonts w:cs="Arial"/>
                <w:b/>
                <w:bCs/>
              </w:rPr>
              <w:t>2016</w:t>
            </w:r>
          </w:p>
        </w:tc>
        <w:tc>
          <w:tcPr>
            <w:tcW w:w="1298" w:type="dxa"/>
            <w:tcBorders>
              <w:top w:val="nil"/>
              <w:left w:val="nil"/>
              <w:bottom w:val="single" w:sz="8" w:space="0" w:color="auto"/>
              <w:right w:val="single" w:sz="8" w:space="0" w:color="auto"/>
            </w:tcBorders>
            <w:shd w:val="clear" w:color="000000" w:fill="00AF41"/>
            <w:vAlign w:val="center"/>
            <w:hideMark/>
          </w:tcPr>
          <w:p w14:paraId="2C816B89" w14:textId="77777777" w:rsidR="00E56ABF" w:rsidRPr="00E56ABF" w:rsidRDefault="00E56ABF" w:rsidP="009A064D">
            <w:pPr>
              <w:jc w:val="center"/>
              <w:rPr>
                <w:rFonts w:cs="Arial"/>
                <w:b/>
                <w:bCs/>
              </w:rPr>
            </w:pPr>
            <w:r w:rsidRPr="00E56ABF">
              <w:rPr>
                <w:rFonts w:cs="Arial"/>
                <w:b/>
                <w:bCs/>
              </w:rPr>
              <w:t>2017</w:t>
            </w:r>
          </w:p>
        </w:tc>
      </w:tr>
      <w:tr w:rsidR="009A064D" w:rsidRPr="00E56ABF" w14:paraId="2C816B93" w14:textId="77777777" w:rsidTr="009A064D">
        <w:trPr>
          <w:trHeight w:val="527"/>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B8B" w14:textId="77777777" w:rsidR="00E56ABF" w:rsidRPr="00E56ABF" w:rsidRDefault="00E56ABF" w:rsidP="00E56ABF">
            <w:pPr>
              <w:rPr>
                <w:rFonts w:cs="Arial"/>
              </w:rPr>
            </w:pPr>
            <w:r w:rsidRPr="00E56ABF">
              <w:rPr>
                <w:rFonts w:cs="Arial"/>
              </w:rPr>
              <w:t>Civic Centre, Leyland</w:t>
            </w:r>
          </w:p>
        </w:tc>
        <w:tc>
          <w:tcPr>
            <w:tcW w:w="1391" w:type="dxa"/>
            <w:tcBorders>
              <w:top w:val="nil"/>
              <w:left w:val="nil"/>
              <w:bottom w:val="single" w:sz="8" w:space="0" w:color="auto"/>
              <w:right w:val="single" w:sz="8" w:space="0" w:color="auto"/>
            </w:tcBorders>
            <w:shd w:val="clear" w:color="auto" w:fill="auto"/>
            <w:vAlign w:val="center"/>
            <w:hideMark/>
          </w:tcPr>
          <w:p w14:paraId="2C816B8C" w14:textId="77777777" w:rsidR="00E56ABF" w:rsidRPr="00E56ABF" w:rsidRDefault="00E56ABF" w:rsidP="00E56ABF">
            <w:pPr>
              <w:rPr>
                <w:rFonts w:cs="Arial"/>
              </w:rPr>
            </w:pPr>
            <w:r w:rsidRPr="00E56ABF">
              <w:rPr>
                <w:rFonts w:cs="Arial"/>
              </w:rPr>
              <w:t>Urban Background</w:t>
            </w:r>
          </w:p>
        </w:tc>
        <w:tc>
          <w:tcPr>
            <w:tcW w:w="1353" w:type="dxa"/>
            <w:tcBorders>
              <w:top w:val="nil"/>
              <w:left w:val="nil"/>
              <w:bottom w:val="single" w:sz="8" w:space="0" w:color="auto"/>
              <w:right w:val="single" w:sz="8" w:space="0" w:color="auto"/>
            </w:tcBorders>
            <w:shd w:val="clear" w:color="auto" w:fill="auto"/>
            <w:vAlign w:val="center"/>
            <w:hideMark/>
          </w:tcPr>
          <w:p w14:paraId="2C816B8D"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B8E" w14:textId="77777777" w:rsidR="00E56ABF" w:rsidRPr="00956670" w:rsidRDefault="00E56ABF" w:rsidP="009A064D">
            <w:pPr>
              <w:jc w:val="center"/>
              <w:rPr>
                <w:rFonts w:cs="Arial"/>
              </w:rPr>
            </w:pPr>
            <w:r w:rsidRPr="00956670">
              <w:rPr>
                <w:rFonts w:cs="Arial"/>
              </w:rPr>
              <w:t>16.00</w:t>
            </w:r>
          </w:p>
        </w:tc>
        <w:tc>
          <w:tcPr>
            <w:tcW w:w="937" w:type="dxa"/>
            <w:tcBorders>
              <w:top w:val="nil"/>
              <w:left w:val="nil"/>
              <w:bottom w:val="single" w:sz="8" w:space="0" w:color="auto"/>
              <w:right w:val="single" w:sz="8" w:space="0" w:color="auto"/>
            </w:tcBorders>
            <w:shd w:val="clear" w:color="auto" w:fill="auto"/>
            <w:vAlign w:val="center"/>
            <w:hideMark/>
          </w:tcPr>
          <w:p w14:paraId="2C816B8F" w14:textId="77777777" w:rsidR="00E56ABF" w:rsidRPr="00E56ABF" w:rsidRDefault="00E56ABF" w:rsidP="009A064D">
            <w:pPr>
              <w:jc w:val="center"/>
              <w:rPr>
                <w:rFonts w:cs="Arial"/>
              </w:rPr>
            </w:pPr>
            <w:r w:rsidRPr="00E56ABF">
              <w:rPr>
                <w:rFonts w:cs="Arial"/>
              </w:rPr>
              <w:t>18.00</w:t>
            </w:r>
          </w:p>
        </w:tc>
        <w:tc>
          <w:tcPr>
            <w:tcW w:w="849" w:type="dxa"/>
            <w:tcBorders>
              <w:top w:val="nil"/>
              <w:left w:val="nil"/>
              <w:bottom w:val="single" w:sz="8" w:space="0" w:color="auto"/>
              <w:right w:val="single" w:sz="8" w:space="0" w:color="auto"/>
            </w:tcBorders>
            <w:shd w:val="clear" w:color="auto" w:fill="auto"/>
            <w:vAlign w:val="center"/>
            <w:hideMark/>
          </w:tcPr>
          <w:p w14:paraId="2C816B90" w14:textId="77777777" w:rsidR="00E56ABF" w:rsidRPr="00E56ABF" w:rsidRDefault="00E56ABF" w:rsidP="009A064D">
            <w:pPr>
              <w:jc w:val="center"/>
              <w:rPr>
                <w:rFonts w:cs="Arial"/>
              </w:rPr>
            </w:pPr>
            <w:r w:rsidRPr="00E56ABF">
              <w:rPr>
                <w:rFonts w:cs="Arial"/>
              </w:rPr>
              <w:t>11.63</w:t>
            </w:r>
          </w:p>
        </w:tc>
        <w:tc>
          <w:tcPr>
            <w:tcW w:w="849" w:type="dxa"/>
            <w:tcBorders>
              <w:top w:val="nil"/>
              <w:left w:val="nil"/>
              <w:bottom w:val="single" w:sz="8" w:space="0" w:color="auto"/>
              <w:right w:val="single" w:sz="8" w:space="0" w:color="auto"/>
            </w:tcBorders>
            <w:shd w:val="clear" w:color="auto" w:fill="auto"/>
            <w:vAlign w:val="center"/>
            <w:hideMark/>
          </w:tcPr>
          <w:p w14:paraId="2C816B91" w14:textId="77777777" w:rsidR="00E56ABF" w:rsidRPr="00E56ABF" w:rsidRDefault="00E56ABF" w:rsidP="009A064D">
            <w:pPr>
              <w:jc w:val="center"/>
              <w:rPr>
                <w:rFonts w:cs="Arial"/>
              </w:rPr>
            </w:pPr>
            <w:r w:rsidRPr="00E56ABF">
              <w:rPr>
                <w:rFonts w:cs="Arial"/>
              </w:rPr>
              <w:t>15.30</w:t>
            </w:r>
          </w:p>
        </w:tc>
        <w:tc>
          <w:tcPr>
            <w:tcW w:w="1298" w:type="dxa"/>
            <w:tcBorders>
              <w:top w:val="nil"/>
              <w:left w:val="nil"/>
              <w:bottom w:val="single" w:sz="8" w:space="0" w:color="auto"/>
              <w:right w:val="single" w:sz="8" w:space="0" w:color="auto"/>
            </w:tcBorders>
            <w:shd w:val="clear" w:color="auto" w:fill="auto"/>
            <w:vAlign w:val="center"/>
            <w:hideMark/>
          </w:tcPr>
          <w:p w14:paraId="2C816B92" w14:textId="77777777" w:rsidR="00E56ABF" w:rsidRPr="00E56ABF" w:rsidRDefault="00E56ABF" w:rsidP="009A064D">
            <w:pPr>
              <w:jc w:val="center"/>
              <w:rPr>
                <w:rFonts w:cs="Arial"/>
              </w:rPr>
            </w:pPr>
            <w:r w:rsidRPr="00E56ABF">
              <w:rPr>
                <w:rFonts w:cs="Arial"/>
              </w:rPr>
              <w:t>13.57</w:t>
            </w:r>
          </w:p>
        </w:tc>
      </w:tr>
      <w:tr w:rsidR="009A064D" w:rsidRPr="00E56ABF" w14:paraId="2C816B9C"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B94" w14:textId="77777777" w:rsidR="00E56ABF" w:rsidRPr="00E56ABF" w:rsidRDefault="00E56ABF" w:rsidP="00E56ABF">
            <w:pPr>
              <w:rPr>
                <w:rFonts w:cs="Arial"/>
              </w:rPr>
            </w:pPr>
            <w:r w:rsidRPr="00E56ABF">
              <w:rPr>
                <w:rFonts w:cs="Arial"/>
              </w:rPr>
              <w:t>Turpin Green Lane/Charnock St, Leyland</w:t>
            </w:r>
          </w:p>
        </w:tc>
        <w:tc>
          <w:tcPr>
            <w:tcW w:w="1391" w:type="dxa"/>
            <w:tcBorders>
              <w:top w:val="nil"/>
              <w:left w:val="nil"/>
              <w:bottom w:val="single" w:sz="8" w:space="0" w:color="auto"/>
              <w:right w:val="single" w:sz="8" w:space="0" w:color="auto"/>
            </w:tcBorders>
            <w:shd w:val="clear" w:color="auto" w:fill="auto"/>
            <w:vAlign w:val="center"/>
            <w:hideMark/>
          </w:tcPr>
          <w:p w14:paraId="2C816B95"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B96"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B97" w14:textId="77777777" w:rsidR="00E56ABF" w:rsidRPr="00E56ABF" w:rsidRDefault="00E56ABF" w:rsidP="009A064D">
            <w:pPr>
              <w:jc w:val="center"/>
              <w:rPr>
                <w:rFonts w:cs="Arial"/>
              </w:rPr>
            </w:pPr>
            <w:r w:rsidRPr="00E56ABF">
              <w:rPr>
                <w:rFonts w:cs="Arial"/>
              </w:rPr>
              <w:t>29.00</w:t>
            </w:r>
          </w:p>
        </w:tc>
        <w:tc>
          <w:tcPr>
            <w:tcW w:w="937" w:type="dxa"/>
            <w:tcBorders>
              <w:top w:val="nil"/>
              <w:left w:val="nil"/>
              <w:bottom w:val="single" w:sz="8" w:space="0" w:color="auto"/>
              <w:right w:val="single" w:sz="8" w:space="0" w:color="auto"/>
            </w:tcBorders>
            <w:shd w:val="clear" w:color="auto" w:fill="auto"/>
            <w:vAlign w:val="center"/>
            <w:hideMark/>
          </w:tcPr>
          <w:p w14:paraId="2C816B98" w14:textId="77777777" w:rsidR="00E56ABF" w:rsidRPr="00E56ABF" w:rsidRDefault="00E56ABF" w:rsidP="009A064D">
            <w:pPr>
              <w:jc w:val="center"/>
              <w:rPr>
                <w:rFonts w:cs="Arial"/>
              </w:rPr>
            </w:pPr>
            <w:r w:rsidRPr="00E56ABF">
              <w:rPr>
                <w:rFonts w:cs="Arial"/>
              </w:rPr>
              <w:t>32.00</w:t>
            </w:r>
          </w:p>
        </w:tc>
        <w:tc>
          <w:tcPr>
            <w:tcW w:w="849" w:type="dxa"/>
            <w:tcBorders>
              <w:top w:val="nil"/>
              <w:left w:val="nil"/>
              <w:bottom w:val="single" w:sz="8" w:space="0" w:color="auto"/>
              <w:right w:val="single" w:sz="8" w:space="0" w:color="auto"/>
            </w:tcBorders>
            <w:shd w:val="clear" w:color="auto" w:fill="auto"/>
            <w:vAlign w:val="center"/>
            <w:hideMark/>
          </w:tcPr>
          <w:p w14:paraId="2C816B99" w14:textId="77777777" w:rsidR="00E56ABF" w:rsidRPr="00E56ABF" w:rsidRDefault="00E56ABF" w:rsidP="009A064D">
            <w:pPr>
              <w:jc w:val="center"/>
              <w:rPr>
                <w:rFonts w:cs="Arial"/>
              </w:rPr>
            </w:pPr>
            <w:r w:rsidRPr="00E56ABF">
              <w:rPr>
                <w:rFonts w:cs="Arial"/>
              </w:rPr>
              <w:t>26.81</w:t>
            </w:r>
          </w:p>
        </w:tc>
        <w:tc>
          <w:tcPr>
            <w:tcW w:w="849" w:type="dxa"/>
            <w:tcBorders>
              <w:top w:val="nil"/>
              <w:left w:val="nil"/>
              <w:bottom w:val="single" w:sz="8" w:space="0" w:color="auto"/>
              <w:right w:val="single" w:sz="8" w:space="0" w:color="auto"/>
            </w:tcBorders>
            <w:shd w:val="clear" w:color="auto" w:fill="auto"/>
            <w:vAlign w:val="center"/>
            <w:hideMark/>
          </w:tcPr>
          <w:p w14:paraId="2C816B9A" w14:textId="77777777" w:rsidR="00E56ABF" w:rsidRPr="00E56ABF" w:rsidRDefault="00E56ABF" w:rsidP="009A064D">
            <w:pPr>
              <w:jc w:val="center"/>
              <w:rPr>
                <w:rFonts w:cs="Arial"/>
              </w:rPr>
            </w:pPr>
            <w:r w:rsidRPr="00E56ABF">
              <w:rPr>
                <w:rFonts w:cs="Arial"/>
              </w:rPr>
              <w:t>31.73</w:t>
            </w:r>
          </w:p>
        </w:tc>
        <w:tc>
          <w:tcPr>
            <w:tcW w:w="1298" w:type="dxa"/>
            <w:tcBorders>
              <w:top w:val="nil"/>
              <w:left w:val="nil"/>
              <w:bottom w:val="single" w:sz="8" w:space="0" w:color="auto"/>
              <w:right w:val="single" w:sz="8" w:space="0" w:color="auto"/>
            </w:tcBorders>
            <w:shd w:val="clear" w:color="auto" w:fill="auto"/>
            <w:vAlign w:val="center"/>
            <w:hideMark/>
          </w:tcPr>
          <w:p w14:paraId="2C816B9B" w14:textId="77777777" w:rsidR="00E56ABF" w:rsidRPr="00E56ABF" w:rsidRDefault="00E56ABF" w:rsidP="009A064D">
            <w:pPr>
              <w:jc w:val="center"/>
              <w:rPr>
                <w:rFonts w:cs="Arial"/>
              </w:rPr>
            </w:pPr>
            <w:r w:rsidRPr="00E56ABF">
              <w:rPr>
                <w:rFonts w:cs="Arial"/>
              </w:rPr>
              <w:t>30.38</w:t>
            </w:r>
          </w:p>
        </w:tc>
      </w:tr>
      <w:tr w:rsidR="009A064D" w:rsidRPr="00E56ABF" w14:paraId="2C816BA5" w14:textId="77777777" w:rsidTr="009A064D">
        <w:trPr>
          <w:trHeight w:val="527"/>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B9D" w14:textId="77777777" w:rsidR="00E56ABF" w:rsidRPr="00E56ABF" w:rsidRDefault="00E56ABF" w:rsidP="00E56ABF">
            <w:pPr>
              <w:rPr>
                <w:rFonts w:cs="Arial"/>
              </w:rPr>
            </w:pPr>
            <w:r w:rsidRPr="00E56ABF">
              <w:rPr>
                <w:rFonts w:cs="Arial"/>
              </w:rPr>
              <w:t>Turpin Green Lane, Leyland</w:t>
            </w:r>
          </w:p>
        </w:tc>
        <w:tc>
          <w:tcPr>
            <w:tcW w:w="1391" w:type="dxa"/>
            <w:tcBorders>
              <w:top w:val="nil"/>
              <w:left w:val="nil"/>
              <w:bottom w:val="single" w:sz="8" w:space="0" w:color="auto"/>
              <w:right w:val="single" w:sz="8" w:space="0" w:color="auto"/>
            </w:tcBorders>
            <w:shd w:val="clear" w:color="auto" w:fill="auto"/>
            <w:vAlign w:val="center"/>
            <w:hideMark/>
          </w:tcPr>
          <w:p w14:paraId="2C816B9E"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B9F"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BA0" w14:textId="77777777" w:rsidR="00E56ABF" w:rsidRPr="00956670" w:rsidRDefault="00E56ABF" w:rsidP="009A064D">
            <w:pPr>
              <w:jc w:val="center"/>
              <w:rPr>
                <w:rFonts w:cs="Arial"/>
              </w:rPr>
            </w:pPr>
            <w:r w:rsidRPr="00956670">
              <w:rPr>
                <w:rFonts w:cs="Arial"/>
              </w:rPr>
              <w:t>34.00</w:t>
            </w:r>
          </w:p>
        </w:tc>
        <w:tc>
          <w:tcPr>
            <w:tcW w:w="937" w:type="dxa"/>
            <w:tcBorders>
              <w:top w:val="nil"/>
              <w:left w:val="nil"/>
              <w:bottom w:val="single" w:sz="8" w:space="0" w:color="auto"/>
              <w:right w:val="single" w:sz="8" w:space="0" w:color="auto"/>
            </w:tcBorders>
            <w:shd w:val="clear" w:color="auto" w:fill="auto"/>
            <w:vAlign w:val="center"/>
            <w:hideMark/>
          </w:tcPr>
          <w:p w14:paraId="2C816BA1" w14:textId="77777777" w:rsidR="00E56ABF" w:rsidRPr="00E56ABF" w:rsidRDefault="00E56ABF" w:rsidP="009A064D">
            <w:pPr>
              <w:jc w:val="center"/>
              <w:rPr>
                <w:rFonts w:cs="Arial"/>
              </w:rPr>
            </w:pPr>
            <w:r w:rsidRPr="00E56ABF">
              <w:rPr>
                <w:rFonts w:cs="Arial"/>
              </w:rPr>
              <w:t>33.00</w:t>
            </w:r>
          </w:p>
        </w:tc>
        <w:tc>
          <w:tcPr>
            <w:tcW w:w="849" w:type="dxa"/>
            <w:tcBorders>
              <w:top w:val="nil"/>
              <w:left w:val="nil"/>
              <w:bottom w:val="single" w:sz="8" w:space="0" w:color="auto"/>
              <w:right w:val="single" w:sz="8" w:space="0" w:color="auto"/>
            </w:tcBorders>
            <w:shd w:val="clear" w:color="auto" w:fill="auto"/>
            <w:vAlign w:val="center"/>
            <w:hideMark/>
          </w:tcPr>
          <w:p w14:paraId="2C816BA2" w14:textId="77777777" w:rsidR="00E56ABF" w:rsidRPr="00E56ABF" w:rsidRDefault="00E56ABF" w:rsidP="009A064D">
            <w:pPr>
              <w:jc w:val="center"/>
              <w:rPr>
                <w:rFonts w:cs="Arial"/>
              </w:rPr>
            </w:pPr>
            <w:r w:rsidRPr="00E56ABF">
              <w:rPr>
                <w:rFonts w:cs="Arial"/>
              </w:rPr>
              <w:t>29.00</w:t>
            </w:r>
          </w:p>
        </w:tc>
        <w:tc>
          <w:tcPr>
            <w:tcW w:w="849" w:type="dxa"/>
            <w:tcBorders>
              <w:top w:val="nil"/>
              <w:left w:val="nil"/>
              <w:bottom w:val="single" w:sz="8" w:space="0" w:color="auto"/>
              <w:right w:val="single" w:sz="8" w:space="0" w:color="auto"/>
            </w:tcBorders>
            <w:shd w:val="clear" w:color="auto" w:fill="auto"/>
            <w:vAlign w:val="center"/>
            <w:hideMark/>
          </w:tcPr>
          <w:p w14:paraId="2C816BA3" w14:textId="77777777" w:rsidR="00E56ABF" w:rsidRPr="00E56ABF" w:rsidRDefault="00E56ABF" w:rsidP="009A064D">
            <w:pPr>
              <w:jc w:val="center"/>
              <w:rPr>
                <w:rFonts w:cs="Arial"/>
              </w:rPr>
            </w:pPr>
            <w:r w:rsidRPr="00E56ABF">
              <w:rPr>
                <w:rFonts w:cs="Arial"/>
              </w:rPr>
              <w:t>32.26</w:t>
            </w:r>
          </w:p>
        </w:tc>
        <w:tc>
          <w:tcPr>
            <w:tcW w:w="1298" w:type="dxa"/>
            <w:tcBorders>
              <w:top w:val="nil"/>
              <w:left w:val="nil"/>
              <w:bottom w:val="single" w:sz="8" w:space="0" w:color="auto"/>
              <w:right w:val="single" w:sz="8" w:space="0" w:color="auto"/>
            </w:tcBorders>
            <w:shd w:val="clear" w:color="auto" w:fill="auto"/>
            <w:vAlign w:val="center"/>
            <w:hideMark/>
          </w:tcPr>
          <w:p w14:paraId="2C816BA4" w14:textId="77777777" w:rsidR="00E56ABF" w:rsidRPr="00E56ABF" w:rsidRDefault="00E56ABF" w:rsidP="009A064D">
            <w:pPr>
              <w:jc w:val="center"/>
              <w:rPr>
                <w:rFonts w:cs="Arial"/>
              </w:rPr>
            </w:pPr>
            <w:r w:rsidRPr="00E56ABF">
              <w:rPr>
                <w:rFonts w:cs="Arial"/>
              </w:rPr>
              <w:t>32.66</w:t>
            </w:r>
          </w:p>
        </w:tc>
      </w:tr>
      <w:tr w:rsidR="009A064D" w:rsidRPr="00E56ABF" w14:paraId="2C816BAE"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BA6" w14:textId="77777777" w:rsidR="00E56ABF" w:rsidRPr="00E56ABF" w:rsidRDefault="00E56ABF" w:rsidP="00E56ABF">
            <w:pPr>
              <w:rPr>
                <w:rFonts w:cs="Arial"/>
              </w:rPr>
            </w:pPr>
            <w:r w:rsidRPr="00E56ABF">
              <w:rPr>
                <w:rFonts w:cs="Arial"/>
              </w:rPr>
              <w:t>Turpin Green Lane, Leyland</w:t>
            </w:r>
          </w:p>
        </w:tc>
        <w:tc>
          <w:tcPr>
            <w:tcW w:w="1391" w:type="dxa"/>
            <w:tcBorders>
              <w:top w:val="nil"/>
              <w:left w:val="nil"/>
              <w:bottom w:val="single" w:sz="8" w:space="0" w:color="auto"/>
              <w:right w:val="single" w:sz="8" w:space="0" w:color="auto"/>
            </w:tcBorders>
            <w:shd w:val="clear" w:color="auto" w:fill="auto"/>
            <w:vAlign w:val="center"/>
            <w:hideMark/>
          </w:tcPr>
          <w:p w14:paraId="2C816BA7"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BA8"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BA9" w14:textId="77777777" w:rsidR="00E56ABF" w:rsidRPr="00E56ABF" w:rsidRDefault="00E56ABF" w:rsidP="009A064D">
            <w:pPr>
              <w:jc w:val="center"/>
              <w:rPr>
                <w:rFonts w:cs="Arial"/>
              </w:rPr>
            </w:pPr>
            <w:r w:rsidRPr="00E56ABF">
              <w:rPr>
                <w:rFonts w:cs="Arial"/>
              </w:rPr>
              <w:t>37.00</w:t>
            </w:r>
          </w:p>
        </w:tc>
        <w:tc>
          <w:tcPr>
            <w:tcW w:w="937" w:type="dxa"/>
            <w:tcBorders>
              <w:top w:val="nil"/>
              <w:left w:val="nil"/>
              <w:bottom w:val="single" w:sz="8" w:space="0" w:color="auto"/>
              <w:right w:val="single" w:sz="8" w:space="0" w:color="auto"/>
            </w:tcBorders>
            <w:shd w:val="clear" w:color="auto" w:fill="auto"/>
            <w:vAlign w:val="center"/>
            <w:hideMark/>
          </w:tcPr>
          <w:p w14:paraId="2C816BAA" w14:textId="77777777" w:rsidR="00E56ABF" w:rsidRPr="00E56ABF" w:rsidRDefault="00E56ABF" w:rsidP="009A064D">
            <w:pPr>
              <w:jc w:val="center"/>
              <w:rPr>
                <w:rFonts w:cs="Arial"/>
              </w:rPr>
            </w:pPr>
            <w:r w:rsidRPr="00E56ABF">
              <w:rPr>
                <w:rFonts w:cs="Arial"/>
              </w:rPr>
              <w:t>37.00</w:t>
            </w:r>
          </w:p>
        </w:tc>
        <w:tc>
          <w:tcPr>
            <w:tcW w:w="849" w:type="dxa"/>
            <w:tcBorders>
              <w:top w:val="nil"/>
              <w:left w:val="nil"/>
              <w:bottom w:val="single" w:sz="8" w:space="0" w:color="auto"/>
              <w:right w:val="single" w:sz="8" w:space="0" w:color="auto"/>
            </w:tcBorders>
            <w:shd w:val="clear" w:color="auto" w:fill="auto"/>
            <w:vAlign w:val="center"/>
            <w:hideMark/>
          </w:tcPr>
          <w:p w14:paraId="2C816BAB" w14:textId="77777777" w:rsidR="00E56ABF" w:rsidRPr="00E56ABF" w:rsidRDefault="00E56ABF" w:rsidP="009A064D">
            <w:pPr>
              <w:jc w:val="center"/>
              <w:rPr>
                <w:rFonts w:cs="Arial"/>
              </w:rPr>
            </w:pPr>
            <w:r w:rsidRPr="00E56ABF">
              <w:rPr>
                <w:rFonts w:cs="Arial"/>
              </w:rPr>
              <w:t>31.54</w:t>
            </w:r>
          </w:p>
        </w:tc>
        <w:tc>
          <w:tcPr>
            <w:tcW w:w="849" w:type="dxa"/>
            <w:tcBorders>
              <w:top w:val="nil"/>
              <w:left w:val="nil"/>
              <w:bottom w:val="single" w:sz="8" w:space="0" w:color="auto"/>
              <w:right w:val="single" w:sz="8" w:space="0" w:color="auto"/>
            </w:tcBorders>
            <w:shd w:val="clear" w:color="auto" w:fill="auto"/>
            <w:vAlign w:val="center"/>
            <w:hideMark/>
          </w:tcPr>
          <w:p w14:paraId="2C816BAC" w14:textId="77777777" w:rsidR="00E56ABF" w:rsidRPr="00E56ABF" w:rsidRDefault="00E56ABF" w:rsidP="009A064D">
            <w:pPr>
              <w:jc w:val="center"/>
              <w:rPr>
                <w:rFonts w:cs="Arial"/>
                <w:b/>
                <w:bCs/>
              </w:rPr>
            </w:pPr>
            <w:r w:rsidRPr="00E56ABF">
              <w:rPr>
                <w:rFonts w:cs="Arial"/>
                <w:b/>
                <w:bCs/>
              </w:rPr>
              <w:t>41.45</w:t>
            </w:r>
          </w:p>
        </w:tc>
        <w:tc>
          <w:tcPr>
            <w:tcW w:w="1298" w:type="dxa"/>
            <w:tcBorders>
              <w:top w:val="nil"/>
              <w:left w:val="nil"/>
              <w:bottom w:val="single" w:sz="8" w:space="0" w:color="auto"/>
              <w:right w:val="single" w:sz="8" w:space="0" w:color="auto"/>
            </w:tcBorders>
            <w:shd w:val="clear" w:color="auto" w:fill="auto"/>
            <w:vAlign w:val="center"/>
            <w:hideMark/>
          </w:tcPr>
          <w:p w14:paraId="2C816BAD" w14:textId="77777777" w:rsidR="00E56ABF" w:rsidRPr="00E56ABF" w:rsidRDefault="00E56ABF" w:rsidP="009A064D">
            <w:pPr>
              <w:jc w:val="center"/>
              <w:rPr>
                <w:rFonts w:cs="Arial"/>
              </w:rPr>
            </w:pPr>
            <w:r w:rsidRPr="00E56ABF">
              <w:rPr>
                <w:rFonts w:cs="Arial"/>
              </w:rPr>
              <w:t>35.34</w:t>
            </w:r>
          </w:p>
        </w:tc>
      </w:tr>
      <w:tr w:rsidR="009A064D" w:rsidRPr="00E56ABF" w14:paraId="2C816BB7" w14:textId="77777777" w:rsidTr="009A064D">
        <w:trPr>
          <w:trHeight w:val="527"/>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BAF" w14:textId="77777777" w:rsidR="00E56ABF" w:rsidRPr="00E56ABF" w:rsidRDefault="00E56ABF" w:rsidP="00E56ABF">
            <w:pPr>
              <w:rPr>
                <w:rFonts w:cs="Arial"/>
              </w:rPr>
            </w:pPr>
            <w:r w:rsidRPr="00E56ABF">
              <w:rPr>
                <w:rFonts w:cs="Arial"/>
              </w:rPr>
              <w:t>Turpin Green Lane, Leyland</w:t>
            </w:r>
          </w:p>
        </w:tc>
        <w:tc>
          <w:tcPr>
            <w:tcW w:w="1391" w:type="dxa"/>
            <w:tcBorders>
              <w:top w:val="nil"/>
              <w:left w:val="nil"/>
              <w:bottom w:val="single" w:sz="8" w:space="0" w:color="auto"/>
              <w:right w:val="single" w:sz="8" w:space="0" w:color="auto"/>
            </w:tcBorders>
            <w:shd w:val="clear" w:color="auto" w:fill="auto"/>
            <w:vAlign w:val="center"/>
            <w:hideMark/>
          </w:tcPr>
          <w:p w14:paraId="2C816BB0"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BB1"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BB2" w14:textId="77777777" w:rsidR="00E56ABF" w:rsidRPr="00E56ABF" w:rsidRDefault="00E56ABF" w:rsidP="009A064D">
            <w:pPr>
              <w:jc w:val="center"/>
              <w:rPr>
                <w:rFonts w:cs="Arial"/>
              </w:rPr>
            </w:pPr>
            <w:r w:rsidRPr="00E56ABF">
              <w:rPr>
                <w:rFonts w:cs="Arial"/>
              </w:rPr>
              <w:t>30.00</w:t>
            </w:r>
          </w:p>
        </w:tc>
        <w:tc>
          <w:tcPr>
            <w:tcW w:w="937" w:type="dxa"/>
            <w:tcBorders>
              <w:top w:val="nil"/>
              <w:left w:val="nil"/>
              <w:bottom w:val="single" w:sz="8" w:space="0" w:color="auto"/>
              <w:right w:val="single" w:sz="8" w:space="0" w:color="auto"/>
            </w:tcBorders>
            <w:shd w:val="clear" w:color="auto" w:fill="auto"/>
            <w:vAlign w:val="center"/>
            <w:hideMark/>
          </w:tcPr>
          <w:p w14:paraId="2C816BB3" w14:textId="77777777" w:rsidR="00E56ABF" w:rsidRPr="00E56ABF" w:rsidRDefault="00E56ABF" w:rsidP="009A064D">
            <w:pPr>
              <w:jc w:val="center"/>
              <w:rPr>
                <w:rFonts w:cs="Arial"/>
              </w:rPr>
            </w:pPr>
            <w:r w:rsidRPr="00E56ABF">
              <w:rPr>
                <w:rFonts w:cs="Arial"/>
              </w:rPr>
              <w:t>28.00</w:t>
            </w:r>
          </w:p>
        </w:tc>
        <w:tc>
          <w:tcPr>
            <w:tcW w:w="849" w:type="dxa"/>
            <w:tcBorders>
              <w:top w:val="nil"/>
              <w:left w:val="nil"/>
              <w:bottom w:val="single" w:sz="8" w:space="0" w:color="auto"/>
              <w:right w:val="single" w:sz="8" w:space="0" w:color="auto"/>
            </w:tcBorders>
            <w:shd w:val="clear" w:color="auto" w:fill="auto"/>
            <w:vAlign w:val="center"/>
            <w:hideMark/>
          </w:tcPr>
          <w:p w14:paraId="2C816BB4" w14:textId="77777777" w:rsidR="00E56ABF" w:rsidRPr="00E56ABF" w:rsidRDefault="00E56ABF" w:rsidP="009A064D">
            <w:pPr>
              <w:jc w:val="center"/>
              <w:rPr>
                <w:rFonts w:cs="Arial"/>
              </w:rPr>
            </w:pPr>
            <w:r w:rsidRPr="00E56ABF">
              <w:rPr>
                <w:rFonts w:cs="Arial"/>
              </w:rPr>
              <w:t>24.20</w:t>
            </w:r>
          </w:p>
        </w:tc>
        <w:tc>
          <w:tcPr>
            <w:tcW w:w="849" w:type="dxa"/>
            <w:tcBorders>
              <w:top w:val="nil"/>
              <w:left w:val="nil"/>
              <w:bottom w:val="single" w:sz="8" w:space="0" w:color="auto"/>
              <w:right w:val="single" w:sz="8" w:space="0" w:color="auto"/>
            </w:tcBorders>
            <w:shd w:val="clear" w:color="auto" w:fill="auto"/>
            <w:vAlign w:val="center"/>
            <w:hideMark/>
          </w:tcPr>
          <w:p w14:paraId="2C816BB5" w14:textId="77777777" w:rsidR="00E56ABF" w:rsidRPr="00E56ABF" w:rsidRDefault="00E56ABF" w:rsidP="009A064D">
            <w:pPr>
              <w:jc w:val="center"/>
              <w:rPr>
                <w:rFonts w:cs="Arial"/>
              </w:rPr>
            </w:pPr>
            <w:r w:rsidRPr="00E56ABF">
              <w:rPr>
                <w:rFonts w:cs="Arial"/>
              </w:rPr>
              <w:t>28.04</w:t>
            </w:r>
          </w:p>
        </w:tc>
        <w:tc>
          <w:tcPr>
            <w:tcW w:w="1298" w:type="dxa"/>
            <w:tcBorders>
              <w:top w:val="nil"/>
              <w:left w:val="nil"/>
              <w:bottom w:val="single" w:sz="8" w:space="0" w:color="auto"/>
              <w:right w:val="single" w:sz="8" w:space="0" w:color="auto"/>
            </w:tcBorders>
            <w:shd w:val="clear" w:color="auto" w:fill="auto"/>
            <w:vAlign w:val="center"/>
            <w:hideMark/>
          </w:tcPr>
          <w:p w14:paraId="2C816BB6" w14:textId="77777777" w:rsidR="00E56ABF" w:rsidRPr="00E56ABF" w:rsidRDefault="00E56ABF" w:rsidP="009A064D">
            <w:pPr>
              <w:jc w:val="center"/>
              <w:rPr>
                <w:rFonts w:cs="Arial"/>
              </w:rPr>
            </w:pPr>
            <w:r w:rsidRPr="00E56ABF">
              <w:rPr>
                <w:rFonts w:cs="Arial"/>
              </w:rPr>
              <w:t>25.25</w:t>
            </w:r>
          </w:p>
        </w:tc>
      </w:tr>
      <w:tr w:rsidR="009A064D" w:rsidRPr="00E56ABF" w14:paraId="2C816BC0" w14:textId="77777777" w:rsidTr="009A064D">
        <w:trPr>
          <w:trHeight w:val="527"/>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BB8" w14:textId="77777777" w:rsidR="00E56ABF" w:rsidRPr="00E56ABF" w:rsidRDefault="00E56ABF" w:rsidP="00E56ABF">
            <w:pPr>
              <w:rPr>
                <w:rFonts w:cs="Arial"/>
              </w:rPr>
            </w:pPr>
            <w:r w:rsidRPr="00E56ABF">
              <w:rPr>
                <w:rFonts w:cs="Arial"/>
              </w:rPr>
              <w:t>Turpin Green Lane, Leyland</w:t>
            </w:r>
          </w:p>
        </w:tc>
        <w:tc>
          <w:tcPr>
            <w:tcW w:w="1391" w:type="dxa"/>
            <w:tcBorders>
              <w:top w:val="nil"/>
              <w:left w:val="nil"/>
              <w:bottom w:val="single" w:sz="8" w:space="0" w:color="auto"/>
              <w:right w:val="single" w:sz="8" w:space="0" w:color="auto"/>
            </w:tcBorders>
            <w:shd w:val="clear" w:color="auto" w:fill="auto"/>
            <w:vAlign w:val="center"/>
            <w:hideMark/>
          </w:tcPr>
          <w:p w14:paraId="2C816BB9"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BBA"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BBB" w14:textId="77777777" w:rsidR="00E56ABF" w:rsidRPr="00E56ABF" w:rsidRDefault="00E56ABF" w:rsidP="009A064D">
            <w:pPr>
              <w:jc w:val="center"/>
              <w:rPr>
                <w:rFonts w:cs="Arial"/>
              </w:rPr>
            </w:pPr>
            <w:r w:rsidRPr="00E56ABF">
              <w:rPr>
                <w:rFonts w:cs="Arial"/>
              </w:rPr>
              <w:t>36.00</w:t>
            </w:r>
          </w:p>
        </w:tc>
        <w:tc>
          <w:tcPr>
            <w:tcW w:w="937" w:type="dxa"/>
            <w:tcBorders>
              <w:top w:val="nil"/>
              <w:left w:val="nil"/>
              <w:bottom w:val="single" w:sz="8" w:space="0" w:color="auto"/>
              <w:right w:val="single" w:sz="8" w:space="0" w:color="auto"/>
            </w:tcBorders>
            <w:shd w:val="clear" w:color="auto" w:fill="auto"/>
            <w:vAlign w:val="center"/>
            <w:hideMark/>
          </w:tcPr>
          <w:p w14:paraId="2C816BBC" w14:textId="77777777" w:rsidR="00E56ABF" w:rsidRPr="00E56ABF" w:rsidRDefault="00E56ABF" w:rsidP="009A064D">
            <w:pPr>
              <w:jc w:val="center"/>
              <w:rPr>
                <w:rFonts w:cs="Arial"/>
              </w:rPr>
            </w:pPr>
            <w:r w:rsidRPr="00E56ABF">
              <w:rPr>
                <w:rFonts w:cs="Arial"/>
              </w:rPr>
              <w:t>34.00</w:t>
            </w:r>
          </w:p>
        </w:tc>
        <w:tc>
          <w:tcPr>
            <w:tcW w:w="849" w:type="dxa"/>
            <w:tcBorders>
              <w:top w:val="nil"/>
              <w:left w:val="nil"/>
              <w:bottom w:val="single" w:sz="8" w:space="0" w:color="auto"/>
              <w:right w:val="single" w:sz="8" w:space="0" w:color="auto"/>
            </w:tcBorders>
            <w:shd w:val="clear" w:color="auto" w:fill="auto"/>
            <w:vAlign w:val="center"/>
            <w:hideMark/>
          </w:tcPr>
          <w:p w14:paraId="2C816BBD" w14:textId="77777777" w:rsidR="00E56ABF" w:rsidRPr="00E56ABF" w:rsidRDefault="00E56ABF" w:rsidP="009A064D">
            <w:pPr>
              <w:jc w:val="center"/>
              <w:rPr>
                <w:rFonts w:cs="Arial"/>
              </w:rPr>
            </w:pPr>
            <w:r w:rsidRPr="00E56ABF">
              <w:rPr>
                <w:rFonts w:cs="Arial"/>
              </w:rPr>
              <w:t>31.29</w:t>
            </w:r>
          </w:p>
        </w:tc>
        <w:tc>
          <w:tcPr>
            <w:tcW w:w="849" w:type="dxa"/>
            <w:tcBorders>
              <w:top w:val="nil"/>
              <w:left w:val="nil"/>
              <w:bottom w:val="single" w:sz="8" w:space="0" w:color="auto"/>
              <w:right w:val="single" w:sz="8" w:space="0" w:color="auto"/>
            </w:tcBorders>
            <w:shd w:val="clear" w:color="auto" w:fill="auto"/>
            <w:vAlign w:val="center"/>
            <w:hideMark/>
          </w:tcPr>
          <w:p w14:paraId="2C816BBE" w14:textId="77777777" w:rsidR="00E56ABF" w:rsidRPr="00E56ABF" w:rsidRDefault="00E56ABF" w:rsidP="009A064D">
            <w:pPr>
              <w:jc w:val="center"/>
              <w:rPr>
                <w:rFonts w:cs="Arial"/>
                <w:b/>
                <w:bCs/>
              </w:rPr>
            </w:pPr>
            <w:r w:rsidRPr="00E56ABF">
              <w:rPr>
                <w:rFonts w:cs="Arial"/>
                <w:b/>
                <w:bCs/>
              </w:rPr>
              <w:t>40.81</w:t>
            </w:r>
          </w:p>
        </w:tc>
        <w:tc>
          <w:tcPr>
            <w:tcW w:w="1298" w:type="dxa"/>
            <w:tcBorders>
              <w:top w:val="nil"/>
              <w:left w:val="nil"/>
              <w:bottom w:val="single" w:sz="8" w:space="0" w:color="auto"/>
              <w:right w:val="single" w:sz="8" w:space="0" w:color="auto"/>
            </w:tcBorders>
            <w:shd w:val="clear" w:color="auto" w:fill="auto"/>
            <w:vAlign w:val="center"/>
            <w:hideMark/>
          </w:tcPr>
          <w:p w14:paraId="2C816BBF" w14:textId="77777777" w:rsidR="00E56ABF" w:rsidRPr="00E56ABF" w:rsidRDefault="00E56ABF" w:rsidP="009A064D">
            <w:pPr>
              <w:jc w:val="center"/>
              <w:rPr>
                <w:rFonts w:cs="Arial"/>
              </w:rPr>
            </w:pPr>
            <w:r w:rsidRPr="00E56ABF">
              <w:rPr>
                <w:rFonts w:cs="Arial"/>
              </w:rPr>
              <w:t>34.77</w:t>
            </w:r>
          </w:p>
        </w:tc>
      </w:tr>
      <w:tr w:rsidR="009A064D" w:rsidRPr="00E56ABF" w14:paraId="2C816BC9" w14:textId="77777777" w:rsidTr="009A064D">
        <w:trPr>
          <w:trHeight w:val="527"/>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BC1" w14:textId="77777777" w:rsidR="00E56ABF" w:rsidRPr="00E56ABF" w:rsidRDefault="00E56ABF" w:rsidP="00E56ABF">
            <w:pPr>
              <w:rPr>
                <w:rFonts w:cs="Arial"/>
              </w:rPr>
            </w:pPr>
            <w:r w:rsidRPr="00E56ABF">
              <w:rPr>
                <w:rFonts w:cs="Arial"/>
              </w:rPr>
              <w:t>Golden Hill Lane</w:t>
            </w:r>
          </w:p>
        </w:tc>
        <w:tc>
          <w:tcPr>
            <w:tcW w:w="1391" w:type="dxa"/>
            <w:tcBorders>
              <w:top w:val="nil"/>
              <w:left w:val="nil"/>
              <w:bottom w:val="single" w:sz="8" w:space="0" w:color="auto"/>
              <w:right w:val="single" w:sz="8" w:space="0" w:color="auto"/>
            </w:tcBorders>
            <w:shd w:val="clear" w:color="auto" w:fill="auto"/>
            <w:vAlign w:val="center"/>
            <w:hideMark/>
          </w:tcPr>
          <w:p w14:paraId="2C816BC2"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BC3"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BC4" w14:textId="77777777" w:rsidR="00E56ABF" w:rsidRPr="00E56ABF" w:rsidRDefault="00E56ABF" w:rsidP="009A064D">
            <w:pPr>
              <w:jc w:val="center"/>
              <w:rPr>
                <w:rFonts w:cs="Arial"/>
                <w:b/>
                <w:bCs/>
              </w:rPr>
            </w:pPr>
            <w:r w:rsidRPr="00E56ABF">
              <w:rPr>
                <w:rFonts w:cs="Arial"/>
                <w:b/>
                <w:bCs/>
              </w:rPr>
              <w:t>39.00</w:t>
            </w:r>
          </w:p>
        </w:tc>
        <w:tc>
          <w:tcPr>
            <w:tcW w:w="937" w:type="dxa"/>
            <w:tcBorders>
              <w:top w:val="nil"/>
              <w:left w:val="nil"/>
              <w:bottom w:val="single" w:sz="8" w:space="0" w:color="auto"/>
              <w:right w:val="single" w:sz="8" w:space="0" w:color="auto"/>
            </w:tcBorders>
            <w:shd w:val="clear" w:color="auto" w:fill="auto"/>
            <w:vAlign w:val="center"/>
            <w:hideMark/>
          </w:tcPr>
          <w:p w14:paraId="2C816BC5" w14:textId="77777777" w:rsidR="00E56ABF" w:rsidRPr="00E56ABF" w:rsidRDefault="00E56ABF" w:rsidP="009A064D">
            <w:pPr>
              <w:jc w:val="center"/>
              <w:rPr>
                <w:rFonts w:cs="Arial"/>
              </w:rPr>
            </w:pPr>
            <w:r w:rsidRPr="00E56ABF">
              <w:rPr>
                <w:rFonts w:cs="Arial"/>
              </w:rPr>
              <w:t>35.00</w:t>
            </w:r>
          </w:p>
        </w:tc>
        <w:tc>
          <w:tcPr>
            <w:tcW w:w="849" w:type="dxa"/>
            <w:tcBorders>
              <w:top w:val="nil"/>
              <w:left w:val="nil"/>
              <w:bottom w:val="single" w:sz="8" w:space="0" w:color="auto"/>
              <w:right w:val="single" w:sz="8" w:space="0" w:color="auto"/>
            </w:tcBorders>
            <w:shd w:val="clear" w:color="auto" w:fill="auto"/>
            <w:vAlign w:val="center"/>
            <w:hideMark/>
          </w:tcPr>
          <w:p w14:paraId="2C816BC6" w14:textId="77777777" w:rsidR="00E56ABF" w:rsidRPr="00E56ABF" w:rsidRDefault="00E56ABF" w:rsidP="009A064D">
            <w:pPr>
              <w:jc w:val="center"/>
              <w:rPr>
                <w:rFonts w:cs="Arial"/>
              </w:rPr>
            </w:pPr>
            <w:r w:rsidRPr="00E56ABF">
              <w:rPr>
                <w:rFonts w:cs="Arial"/>
              </w:rPr>
              <w:t>30.00</w:t>
            </w:r>
          </w:p>
        </w:tc>
        <w:tc>
          <w:tcPr>
            <w:tcW w:w="849" w:type="dxa"/>
            <w:tcBorders>
              <w:top w:val="nil"/>
              <w:left w:val="nil"/>
              <w:bottom w:val="single" w:sz="8" w:space="0" w:color="auto"/>
              <w:right w:val="single" w:sz="8" w:space="0" w:color="auto"/>
            </w:tcBorders>
            <w:shd w:val="clear" w:color="auto" w:fill="auto"/>
            <w:vAlign w:val="center"/>
            <w:hideMark/>
          </w:tcPr>
          <w:p w14:paraId="2C816BC7" w14:textId="77777777" w:rsidR="00E56ABF" w:rsidRPr="00E56ABF" w:rsidRDefault="00E56ABF" w:rsidP="009A064D">
            <w:pPr>
              <w:jc w:val="center"/>
              <w:rPr>
                <w:rFonts w:cs="Arial"/>
              </w:rPr>
            </w:pPr>
            <w:r w:rsidRPr="00E56ABF">
              <w:rPr>
                <w:rFonts w:cs="Arial"/>
              </w:rPr>
              <w:t>38.20</w:t>
            </w:r>
          </w:p>
        </w:tc>
        <w:tc>
          <w:tcPr>
            <w:tcW w:w="1298" w:type="dxa"/>
            <w:tcBorders>
              <w:top w:val="nil"/>
              <w:left w:val="nil"/>
              <w:bottom w:val="single" w:sz="8" w:space="0" w:color="auto"/>
              <w:right w:val="single" w:sz="8" w:space="0" w:color="auto"/>
            </w:tcBorders>
            <w:shd w:val="clear" w:color="auto" w:fill="auto"/>
            <w:vAlign w:val="center"/>
            <w:hideMark/>
          </w:tcPr>
          <w:p w14:paraId="2C816BC8" w14:textId="77777777" w:rsidR="00E56ABF" w:rsidRPr="00E56ABF" w:rsidRDefault="00E56ABF" w:rsidP="009A064D">
            <w:pPr>
              <w:jc w:val="center"/>
              <w:rPr>
                <w:rFonts w:cs="Arial"/>
              </w:rPr>
            </w:pPr>
            <w:r w:rsidRPr="00E56ABF">
              <w:rPr>
                <w:rFonts w:cs="Arial"/>
              </w:rPr>
              <w:t>34.74</w:t>
            </w:r>
          </w:p>
        </w:tc>
      </w:tr>
      <w:tr w:rsidR="009A064D" w:rsidRPr="00E56ABF" w14:paraId="2C816BD2" w14:textId="77777777" w:rsidTr="009A064D">
        <w:trPr>
          <w:trHeight w:val="527"/>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BCA" w14:textId="77777777" w:rsidR="00E56ABF" w:rsidRPr="00E56ABF" w:rsidRDefault="00E56ABF" w:rsidP="00E56ABF">
            <w:pPr>
              <w:rPr>
                <w:rFonts w:cs="Arial"/>
              </w:rPr>
            </w:pPr>
            <w:r w:rsidRPr="00E56ABF">
              <w:rPr>
                <w:rFonts w:cs="Arial"/>
              </w:rPr>
              <w:t>Golden Hill Lane</w:t>
            </w:r>
          </w:p>
        </w:tc>
        <w:tc>
          <w:tcPr>
            <w:tcW w:w="1391" w:type="dxa"/>
            <w:tcBorders>
              <w:top w:val="nil"/>
              <w:left w:val="nil"/>
              <w:bottom w:val="single" w:sz="8" w:space="0" w:color="auto"/>
              <w:right w:val="single" w:sz="8" w:space="0" w:color="auto"/>
            </w:tcBorders>
            <w:shd w:val="clear" w:color="auto" w:fill="auto"/>
            <w:vAlign w:val="center"/>
            <w:hideMark/>
          </w:tcPr>
          <w:p w14:paraId="2C816BCB"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BCC"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BCD" w14:textId="77777777" w:rsidR="00E56ABF" w:rsidRPr="00E56ABF" w:rsidRDefault="00E56ABF" w:rsidP="009A064D">
            <w:pPr>
              <w:jc w:val="center"/>
              <w:rPr>
                <w:rFonts w:cs="Arial"/>
              </w:rPr>
            </w:pPr>
            <w:r w:rsidRPr="00E56ABF">
              <w:rPr>
                <w:rFonts w:cs="Arial"/>
              </w:rPr>
              <w:t>36.00</w:t>
            </w:r>
          </w:p>
        </w:tc>
        <w:tc>
          <w:tcPr>
            <w:tcW w:w="937" w:type="dxa"/>
            <w:tcBorders>
              <w:top w:val="nil"/>
              <w:left w:val="nil"/>
              <w:bottom w:val="single" w:sz="8" w:space="0" w:color="auto"/>
              <w:right w:val="single" w:sz="8" w:space="0" w:color="auto"/>
            </w:tcBorders>
            <w:shd w:val="clear" w:color="auto" w:fill="auto"/>
            <w:vAlign w:val="center"/>
            <w:hideMark/>
          </w:tcPr>
          <w:p w14:paraId="2C816BCE" w14:textId="77777777" w:rsidR="00E56ABF" w:rsidRPr="00E56ABF" w:rsidRDefault="00E56ABF" w:rsidP="009A064D">
            <w:pPr>
              <w:jc w:val="center"/>
              <w:rPr>
                <w:rFonts w:cs="Arial"/>
              </w:rPr>
            </w:pPr>
            <w:r w:rsidRPr="00E56ABF">
              <w:rPr>
                <w:rFonts w:cs="Arial"/>
              </w:rPr>
              <w:t>33.00</w:t>
            </w:r>
          </w:p>
        </w:tc>
        <w:tc>
          <w:tcPr>
            <w:tcW w:w="849" w:type="dxa"/>
            <w:tcBorders>
              <w:top w:val="nil"/>
              <w:left w:val="nil"/>
              <w:bottom w:val="single" w:sz="8" w:space="0" w:color="auto"/>
              <w:right w:val="single" w:sz="8" w:space="0" w:color="auto"/>
            </w:tcBorders>
            <w:shd w:val="clear" w:color="auto" w:fill="auto"/>
            <w:vAlign w:val="center"/>
            <w:hideMark/>
          </w:tcPr>
          <w:p w14:paraId="2C816BCF" w14:textId="77777777" w:rsidR="00E56ABF" w:rsidRPr="00E56ABF" w:rsidRDefault="00E56ABF" w:rsidP="009A064D">
            <w:pPr>
              <w:jc w:val="center"/>
              <w:rPr>
                <w:rFonts w:cs="Arial"/>
              </w:rPr>
            </w:pPr>
            <w:r w:rsidRPr="00E56ABF">
              <w:rPr>
                <w:rFonts w:cs="Arial"/>
              </w:rPr>
              <w:t>31.00</w:t>
            </w:r>
          </w:p>
        </w:tc>
        <w:tc>
          <w:tcPr>
            <w:tcW w:w="849" w:type="dxa"/>
            <w:tcBorders>
              <w:top w:val="nil"/>
              <w:left w:val="nil"/>
              <w:bottom w:val="single" w:sz="8" w:space="0" w:color="auto"/>
              <w:right w:val="single" w:sz="8" w:space="0" w:color="auto"/>
            </w:tcBorders>
            <w:shd w:val="clear" w:color="auto" w:fill="auto"/>
            <w:vAlign w:val="center"/>
            <w:hideMark/>
          </w:tcPr>
          <w:p w14:paraId="2C816BD0" w14:textId="77777777" w:rsidR="00E56ABF" w:rsidRPr="00E56ABF" w:rsidRDefault="00E56ABF" w:rsidP="009A064D">
            <w:pPr>
              <w:jc w:val="center"/>
              <w:rPr>
                <w:rFonts w:cs="Arial"/>
              </w:rPr>
            </w:pPr>
            <w:r w:rsidRPr="00E56ABF">
              <w:rPr>
                <w:rFonts w:cs="Arial"/>
              </w:rPr>
              <w:t>38.03</w:t>
            </w:r>
          </w:p>
        </w:tc>
        <w:tc>
          <w:tcPr>
            <w:tcW w:w="1298" w:type="dxa"/>
            <w:tcBorders>
              <w:top w:val="nil"/>
              <w:left w:val="nil"/>
              <w:bottom w:val="single" w:sz="8" w:space="0" w:color="auto"/>
              <w:right w:val="single" w:sz="8" w:space="0" w:color="auto"/>
            </w:tcBorders>
            <w:shd w:val="clear" w:color="auto" w:fill="auto"/>
            <w:vAlign w:val="center"/>
            <w:hideMark/>
          </w:tcPr>
          <w:p w14:paraId="2C816BD1" w14:textId="77777777" w:rsidR="00E56ABF" w:rsidRPr="00E56ABF" w:rsidRDefault="00E56ABF" w:rsidP="009A064D">
            <w:pPr>
              <w:jc w:val="center"/>
              <w:rPr>
                <w:rFonts w:cs="Arial"/>
              </w:rPr>
            </w:pPr>
            <w:r w:rsidRPr="00E56ABF">
              <w:rPr>
                <w:rFonts w:cs="Arial"/>
              </w:rPr>
              <w:t>32.51</w:t>
            </w:r>
          </w:p>
        </w:tc>
      </w:tr>
      <w:tr w:rsidR="009A064D" w:rsidRPr="00E56ABF" w14:paraId="2C816BDB" w14:textId="77777777" w:rsidTr="009A064D">
        <w:trPr>
          <w:trHeight w:val="315"/>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BD3" w14:textId="77777777" w:rsidR="00E56ABF" w:rsidRPr="00E56ABF" w:rsidRDefault="00E56ABF" w:rsidP="00E56ABF">
            <w:pPr>
              <w:rPr>
                <w:rFonts w:cs="Arial"/>
              </w:rPr>
            </w:pPr>
            <w:r w:rsidRPr="00E56ABF">
              <w:rPr>
                <w:rFonts w:cs="Arial"/>
              </w:rPr>
              <w:t>Leyland lane</w:t>
            </w:r>
          </w:p>
        </w:tc>
        <w:tc>
          <w:tcPr>
            <w:tcW w:w="1391" w:type="dxa"/>
            <w:tcBorders>
              <w:top w:val="nil"/>
              <w:left w:val="nil"/>
              <w:bottom w:val="single" w:sz="8" w:space="0" w:color="auto"/>
              <w:right w:val="single" w:sz="8" w:space="0" w:color="auto"/>
            </w:tcBorders>
            <w:shd w:val="clear" w:color="auto" w:fill="auto"/>
            <w:vAlign w:val="center"/>
            <w:hideMark/>
          </w:tcPr>
          <w:p w14:paraId="2C816BD4"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BD5"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BD6" w14:textId="77777777" w:rsidR="00E56ABF" w:rsidRPr="00E56ABF" w:rsidRDefault="00E56ABF" w:rsidP="009A064D">
            <w:pPr>
              <w:jc w:val="center"/>
              <w:rPr>
                <w:rFonts w:cs="Arial"/>
              </w:rPr>
            </w:pPr>
          </w:p>
        </w:tc>
        <w:tc>
          <w:tcPr>
            <w:tcW w:w="937" w:type="dxa"/>
            <w:tcBorders>
              <w:top w:val="nil"/>
              <w:left w:val="nil"/>
              <w:bottom w:val="single" w:sz="8" w:space="0" w:color="auto"/>
              <w:right w:val="single" w:sz="8" w:space="0" w:color="auto"/>
            </w:tcBorders>
            <w:shd w:val="clear" w:color="auto" w:fill="auto"/>
            <w:vAlign w:val="center"/>
            <w:hideMark/>
          </w:tcPr>
          <w:p w14:paraId="2C816BD7" w14:textId="77777777" w:rsidR="00E56ABF" w:rsidRPr="00E56ABF" w:rsidRDefault="00E56ABF" w:rsidP="009A064D">
            <w:pPr>
              <w:jc w:val="center"/>
              <w:rPr>
                <w:rFonts w:cs="Arial"/>
              </w:rPr>
            </w:pPr>
            <w:r w:rsidRPr="00E56ABF">
              <w:rPr>
                <w:rFonts w:cs="Arial"/>
              </w:rPr>
              <w:t>36.00</w:t>
            </w:r>
          </w:p>
        </w:tc>
        <w:tc>
          <w:tcPr>
            <w:tcW w:w="849" w:type="dxa"/>
            <w:tcBorders>
              <w:top w:val="nil"/>
              <w:left w:val="nil"/>
              <w:bottom w:val="single" w:sz="8" w:space="0" w:color="auto"/>
              <w:right w:val="single" w:sz="8" w:space="0" w:color="auto"/>
            </w:tcBorders>
            <w:shd w:val="clear" w:color="auto" w:fill="auto"/>
            <w:vAlign w:val="center"/>
            <w:hideMark/>
          </w:tcPr>
          <w:p w14:paraId="2C816BD8" w14:textId="77777777" w:rsidR="00E56ABF" w:rsidRPr="00E56ABF" w:rsidRDefault="00E56ABF" w:rsidP="009A064D">
            <w:pPr>
              <w:jc w:val="center"/>
              <w:rPr>
                <w:rFonts w:cs="Arial"/>
              </w:rPr>
            </w:pPr>
            <w:r w:rsidRPr="00E56ABF">
              <w:rPr>
                <w:rFonts w:cs="Arial"/>
              </w:rPr>
              <w:t>21.80</w:t>
            </w:r>
          </w:p>
        </w:tc>
        <w:tc>
          <w:tcPr>
            <w:tcW w:w="849" w:type="dxa"/>
            <w:tcBorders>
              <w:top w:val="nil"/>
              <w:left w:val="nil"/>
              <w:bottom w:val="single" w:sz="8" w:space="0" w:color="auto"/>
              <w:right w:val="single" w:sz="8" w:space="0" w:color="auto"/>
            </w:tcBorders>
            <w:shd w:val="clear" w:color="auto" w:fill="auto"/>
            <w:vAlign w:val="center"/>
            <w:hideMark/>
          </w:tcPr>
          <w:p w14:paraId="2C816BD9" w14:textId="77777777" w:rsidR="00E56ABF" w:rsidRPr="00E56ABF" w:rsidRDefault="00E56ABF" w:rsidP="009A064D">
            <w:pPr>
              <w:jc w:val="center"/>
              <w:rPr>
                <w:rFonts w:cs="Arial"/>
              </w:rPr>
            </w:pPr>
            <w:r w:rsidRPr="00E56ABF">
              <w:rPr>
                <w:rFonts w:cs="Arial"/>
              </w:rPr>
              <w:t>28.59</w:t>
            </w:r>
          </w:p>
        </w:tc>
        <w:tc>
          <w:tcPr>
            <w:tcW w:w="1298" w:type="dxa"/>
            <w:tcBorders>
              <w:top w:val="nil"/>
              <w:left w:val="nil"/>
              <w:bottom w:val="single" w:sz="8" w:space="0" w:color="auto"/>
              <w:right w:val="single" w:sz="8" w:space="0" w:color="auto"/>
            </w:tcBorders>
            <w:shd w:val="clear" w:color="auto" w:fill="auto"/>
            <w:vAlign w:val="center"/>
            <w:hideMark/>
          </w:tcPr>
          <w:p w14:paraId="2C816BDA" w14:textId="77777777" w:rsidR="00E56ABF" w:rsidRPr="00E56ABF" w:rsidRDefault="00E56ABF" w:rsidP="009A064D">
            <w:pPr>
              <w:jc w:val="center"/>
              <w:rPr>
                <w:rFonts w:cs="Arial"/>
              </w:rPr>
            </w:pPr>
            <w:r w:rsidRPr="00E56ABF">
              <w:rPr>
                <w:rFonts w:cs="Arial"/>
              </w:rPr>
              <w:t>25.09</w:t>
            </w:r>
          </w:p>
        </w:tc>
      </w:tr>
      <w:tr w:rsidR="009A064D" w:rsidRPr="00E56ABF" w14:paraId="2C816BE4" w14:textId="77777777" w:rsidTr="009A064D">
        <w:trPr>
          <w:trHeight w:val="527"/>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BDC" w14:textId="77777777" w:rsidR="00E56ABF" w:rsidRPr="00E56ABF" w:rsidRDefault="00E56ABF" w:rsidP="00E56ABF">
            <w:pPr>
              <w:rPr>
                <w:rFonts w:cs="Arial"/>
              </w:rPr>
            </w:pPr>
            <w:r w:rsidRPr="00E56ABF">
              <w:rPr>
                <w:rFonts w:cs="Arial"/>
              </w:rPr>
              <w:t xml:space="preserve">The Mill, Longmeanygate </w:t>
            </w:r>
          </w:p>
        </w:tc>
        <w:tc>
          <w:tcPr>
            <w:tcW w:w="1391" w:type="dxa"/>
            <w:tcBorders>
              <w:top w:val="nil"/>
              <w:left w:val="nil"/>
              <w:bottom w:val="single" w:sz="8" w:space="0" w:color="auto"/>
              <w:right w:val="single" w:sz="8" w:space="0" w:color="auto"/>
            </w:tcBorders>
            <w:shd w:val="clear" w:color="auto" w:fill="auto"/>
            <w:vAlign w:val="center"/>
            <w:hideMark/>
          </w:tcPr>
          <w:p w14:paraId="2C816BDD"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BDE"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BDF" w14:textId="77777777" w:rsidR="00E56ABF" w:rsidRPr="00E56ABF" w:rsidRDefault="00E56ABF" w:rsidP="009A064D">
            <w:pPr>
              <w:jc w:val="center"/>
              <w:rPr>
                <w:rFonts w:cs="Arial"/>
              </w:rPr>
            </w:pPr>
          </w:p>
        </w:tc>
        <w:tc>
          <w:tcPr>
            <w:tcW w:w="937" w:type="dxa"/>
            <w:tcBorders>
              <w:top w:val="nil"/>
              <w:left w:val="nil"/>
              <w:bottom w:val="single" w:sz="8" w:space="0" w:color="auto"/>
              <w:right w:val="single" w:sz="8" w:space="0" w:color="auto"/>
            </w:tcBorders>
            <w:shd w:val="clear" w:color="auto" w:fill="auto"/>
            <w:vAlign w:val="center"/>
            <w:hideMark/>
          </w:tcPr>
          <w:p w14:paraId="2C816BE0" w14:textId="77777777" w:rsidR="00E56ABF" w:rsidRPr="00E56ABF" w:rsidRDefault="00E56ABF" w:rsidP="009A064D">
            <w:pPr>
              <w:jc w:val="center"/>
              <w:rPr>
                <w:rFonts w:cs="Arial"/>
              </w:rPr>
            </w:pPr>
            <w:r w:rsidRPr="00E56ABF">
              <w:rPr>
                <w:rFonts w:cs="Arial"/>
              </w:rPr>
              <w:t>35.00</w:t>
            </w:r>
          </w:p>
        </w:tc>
        <w:tc>
          <w:tcPr>
            <w:tcW w:w="849" w:type="dxa"/>
            <w:tcBorders>
              <w:top w:val="nil"/>
              <w:left w:val="nil"/>
              <w:bottom w:val="single" w:sz="8" w:space="0" w:color="auto"/>
              <w:right w:val="single" w:sz="8" w:space="0" w:color="auto"/>
            </w:tcBorders>
            <w:shd w:val="clear" w:color="auto" w:fill="auto"/>
            <w:vAlign w:val="center"/>
            <w:hideMark/>
          </w:tcPr>
          <w:p w14:paraId="2C816BE1" w14:textId="77777777" w:rsidR="00E56ABF" w:rsidRPr="00E56ABF" w:rsidRDefault="00E56ABF" w:rsidP="009A064D">
            <w:pPr>
              <w:jc w:val="center"/>
              <w:rPr>
                <w:rFonts w:cs="Arial"/>
              </w:rPr>
            </w:pPr>
            <w:r w:rsidRPr="00E56ABF">
              <w:rPr>
                <w:rFonts w:cs="Arial"/>
              </w:rPr>
              <w:t>20.37</w:t>
            </w:r>
          </w:p>
        </w:tc>
        <w:tc>
          <w:tcPr>
            <w:tcW w:w="849" w:type="dxa"/>
            <w:tcBorders>
              <w:top w:val="nil"/>
              <w:left w:val="nil"/>
              <w:bottom w:val="single" w:sz="8" w:space="0" w:color="auto"/>
              <w:right w:val="single" w:sz="8" w:space="0" w:color="auto"/>
            </w:tcBorders>
            <w:shd w:val="clear" w:color="auto" w:fill="auto"/>
            <w:vAlign w:val="center"/>
            <w:hideMark/>
          </w:tcPr>
          <w:p w14:paraId="2C816BE2" w14:textId="77777777" w:rsidR="00E56ABF" w:rsidRPr="00E56ABF" w:rsidRDefault="00E56ABF" w:rsidP="009A064D">
            <w:pPr>
              <w:jc w:val="center"/>
              <w:rPr>
                <w:rFonts w:cs="Arial"/>
              </w:rPr>
            </w:pPr>
            <w:r w:rsidRPr="00E56ABF">
              <w:rPr>
                <w:rFonts w:cs="Arial"/>
              </w:rPr>
              <w:t>25.12</w:t>
            </w:r>
          </w:p>
        </w:tc>
        <w:tc>
          <w:tcPr>
            <w:tcW w:w="1298" w:type="dxa"/>
            <w:tcBorders>
              <w:top w:val="nil"/>
              <w:left w:val="nil"/>
              <w:bottom w:val="single" w:sz="8" w:space="0" w:color="auto"/>
              <w:right w:val="single" w:sz="8" w:space="0" w:color="auto"/>
            </w:tcBorders>
            <w:shd w:val="clear" w:color="auto" w:fill="auto"/>
            <w:vAlign w:val="center"/>
            <w:hideMark/>
          </w:tcPr>
          <w:p w14:paraId="2C816BE3" w14:textId="77777777" w:rsidR="00E56ABF" w:rsidRPr="00E56ABF" w:rsidRDefault="00E56ABF" w:rsidP="009A064D">
            <w:pPr>
              <w:jc w:val="center"/>
              <w:rPr>
                <w:rFonts w:cs="Arial"/>
              </w:rPr>
            </w:pPr>
            <w:r w:rsidRPr="00E56ABF">
              <w:rPr>
                <w:rFonts w:cs="Arial"/>
              </w:rPr>
              <w:t>23.32</w:t>
            </w:r>
          </w:p>
        </w:tc>
      </w:tr>
      <w:tr w:rsidR="009A064D" w:rsidRPr="00E56ABF" w14:paraId="2C816BED"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BE5" w14:textId="77777777" w:rsidR="00E56ABF" w:rsidRPr="00E56ABF" w:rsidRDefault="00E56ABF" w:rsidP="00E56ABF">
            <w:pPr>
              <w:rPr>
                <w:rFonts w:cs="Arial"/>
              </w:rPr>
            </w:pPr>
            <w:r w:rsidRPr="00E56ABF">
              <w:rPr>
                <w:rFonts w:cs="Arial"/>
              </w:rPr>
              <w:t>Watkin Lane, Lostock Hall</w:t>
            </w:r>
          </w:p>
        </w:tc>
        <w:tc>
          <w:tcPr>
            <w:tcW w:w="1391" w:type="dxa"/>
            <w:tcBorders>
              <w:top w:val="nil"/>
              <w:left w:val="nil"/>
              <w:bottom w:val="single" w:sz="8" w:space="0" w:color="auto"/>
              <w:right w:val="single" w:sz="8" w:space="0" w:color="auto"/>
            </w:tcBorders>
            <w:shd w:val="clear" w:color="auto" w:fill="auto"/>
            <w:vAlign w:val="center"/>
            <w:hideMark/>
          </w:tcPr>
          <w:p w14:paraId="2C816BE6"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BE7"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BE8" w14:textId="77777777" w:rsidR="00E56ABF" w:rsidRPr="00E56ABF" w:rsidRDefault="00E56ABF" w:rsidP="009A064D">
            <w:pPr>
              <w:jc w:val="center"/>
              <w:rPr>
                <w:rFonts w:cs="Arial"/>
              </w:rPr>
            </w:pPr>
            <w:r w:rsidRPr="00E56ABF">
              <w:rPr>
                <w:rFonts w:cs="Arial"/>
              </w:rPr>
              <w:t>28.00</w:t>
            </w:r>
          </w:p>
        </w:tc>
        <w:tc>
          <w:tcPr>
            <w:tcW w:w="937" w:type="dxa"/>
            <w:tcBorders>
              <w:top w:val="nil"/>
              <w:left w:val="nil"/>
              <w:bottom w:val="single" w:sz="8" w:space="0" w:color="auto"/>
              <w:right w:val="single" w:sz="8" w:space="0" w:color="auto"/>
            </w:tcBorders>
            <w:shd w:val="clear" w:color="auto" w:fill="auto"/>
            <w:vAlign w:val="center"/>
            <w:hideMark/>
          </w:tcPr>
          <w:p w14:paraId="2C816BE9" w14:textId="77777777" w:rsidR="00E56ABF" w:rsidRPr="00E56ABF" w:rsidRDefault="00E56ABF" w:rsidP="009A064D">
            <w:pPr>
              <w:jc w:val="center"/>
              <w:rPr>
                <w:rFonts w:cs="Arial"/>
              </w:rPr>
            </w:pPr>
            <w:r w:rsidRPr="00E56ABF">
              <w:rPr>
                <w:rFonts w:cs="Arial"/>
              </w:rPr>
              <w:t>28.00</w:t>
            </w:r>
          </w:p>
        </w:tc>
        <w:tc>
          <w:tcPr>
            <w:tcW w:w="849" w:type="dxa"/>
            <w:tcBorders>
              <w:top w:val="nil"/>
              <w:left w:val="nil"/>
              <w:bottom w:val="single" w:sz="8" w:space="0" w:color="auto"/>
              <w:right w:val="single" w:sz="8" w:space="0" w:color="auto"/>
            </w:tcBorders>
            <w:shd w:val="clear" w:color="auto" w:fill="auto"/>
            <w:vAlign w:val="center"/>
            <w:hideMark/>
          </w:tcPr>
          <w:p w14:paraId="2C816BEA" w14:textId="77777777" w:rsidR="00E56ABF" w:rsidRPr="00E56ABF" w:rsidRDefault="00E56ABF" w:rsidP="009A064D">
            <w:pPr>
              <w:jc w:val="center"/>
              <w:rPr>
                <w:rFonts w:cs="Arial"/>
              </w:rPr>
            </w:pPr>
            <w:r w:rsidRPr="00E56ABF">
              <w:rPr>
                <w:rFonts w:cs="Arial"/>
              </w:rPr>
              <w:t>22.00</w:t>
            </w:r>
          </w:p>
        </w:tc>
        <w:tc>
          <w:tcPr>
            <w:tcW w:w="849" w:type="dxa"/>
            <w:tcBorders>
              <w:top w:val="nil"/>
              <w:left w:val="nil"/>
              <w:bottom w:val="single" w:sz="8" w:space="0" w:color="auto"/>
              <w:right w:val="single" w:sz="8" w:space="0" w:color="auto"/>
            </w:tcBorders>
            <w:shd w:val="clear" w:color="auto" w:fill="auto"/>
            <w:vAlign w:val="center"/>
            <w:hideMark/>
          </w:tcPr>
          <w:p w14:paraId="2C816BEB" w14:textId="77777777" w:rsidR="00E56ABF" w:rsidRPr="00E56ABF" w:rsidRDefault="00E56ABF" w:rsidP="009A064D">
            <w:pPr>
              <w:jc w:val="center"/>
              <w:rPr>
                <w:rFonts w:cs="Arial"/>
              </w:rPr>
            </w:pPr>
            <w:r w:rsidRPr="00E56ABF">
              <w:rPr>
                <w:rFonts w:cs="Arial"/>
              </w:rPr>
              <w:t>26.30</w:t>
            </w:r>
          </w:p>
        </w:tc>
        <w:tc>
          <w:tcPr>
            <w:tcW w:w="1298" w:type="dxa"/>
            <w:tcBorders>
              <w:top w:val="nil"/>
              <w:left w:val="nil"/>
              <w:bottom w:val="single" w:sz="8" w:space="0" w:color="auto"/>
              <w:right w:val="single" w:sz="8" w:space="0" w:color="auto"/>
            </w:tcBorders>
            <w:shd w:val="clear" w:color="auto" w:fill="auto"/>
            <w:vAlign w:val="center"/>
            <w:hideMark/>
          </w:tcPr>
          <w:p w14:paraId="2C816BEC" w14:textId="77777777" w:rsidR="00E56ABF" w:rsidRPr="00E56ABF" w:rsidRDefault="00E56ABF" w:rsidP="009A064D">
            <w:pPr>
              <w:jc w:val="center"/>
              <w:rPr>
                <w:rFonts w:cs="Arial"/>
              </w:rPr>
            </w:pPr>
            <w:r w:rsidRPr="00E56ABF">
              <w:rPr>
                <w:rFonts w:cs="Arial"/>
              </w:rPr>
              <w:t>25.70</w:t>
            </w:r>
          </w:p>
        </w:tc>
      </w:tr>
      <w:tr w:rsidR="009A064D" w:rsidRPr="00E56ABF" w14:paraId="2C816BF6"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BEE" w14:textId="77777777" w:rsidR="00E56ABF" w:rsidRPr="00E56ABF" w:rsidRDefault="00E56ABF" w:rsidP="00E56ABF">
            <w:pPr>
              <w:rPr>
                <w:rFonts w:cs="Arial"/>
              </w:rPr>
            </w:pPr>
            <w:r w:rsidRPr="00E56ABF">
              <w:rPr>
                <w:rFonts w:cs="Arial"/>
              </w:rPr>
              <w:t>Spar, Watkin Lane, Lostock Hall</w:t>
            </w:r>
          </w:p>
        </w:tc>
        <w:tc>
          <w:tcPr>
            <w:tcW w:w="1391" w:type="dxa"/>
            <w:tcBorders>
              <w:top w:val="nil"/>
              <w:left w:val="nil"/>
              <w:bottom w:val="single" w:sz="8" w:space="0" w:color="auto"/>
              <w:right w:val="single" w:sz="8" w:space="0" w:color="auto"/>
            </w:tcBorders>
            <w:shd w:val="clear" w:color="auto" w:fill="auto"/>
            <w:vAlign w:val="center"/>
            <w:hideMark/>
          </w:tcPr>
          <w:p w14:paraId="2C816BEF"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BF0"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BF1" w14:textId="77777777" w:rsidR="00E56ABF" w:rsidRPr="00E56ABF" w:rsidRDefault="00E56ABF" w:rsidP="009A064D">
            <w:pPr>
              <w:jc w:val="center"/>
              <w:rPr>
                <w:rFonts w:cs="Arial"/>
              </w:rPr>
            </w:pPr>
            <w:r w:rsidRPr="00E56ABF">
              <w:rPr>
                <w:rFonts w:cs="Arial"/>
              </w:rPr>
              <w:t>33.00</w:t>
            </w:r>
          </w:p>
        </w:tc>
        <w:tc>
          <w:tcPr>
            <w:tcW w:w="937" w:type="dxa"/>
            <w:tcBorders>
              <w:top w:val="nil"/>
              <w:left w:val="nil"/>
              <w:bottom w:val="single" w:sz="8" w:space="0" w:color="auto"/>
              <w:right w:val="single" w:sz="8" w:space="0" w:color="auto"/>
            </w:tcBorders>
            <w:shd w:val="clear" w:color="auto" w:fill="auto"/>
            <w:vAlign w:val="center"/>
            <w:hideMark/>
          </w:tcPr>
          <w:p w14:paraId="2C816BF2" w14:textId="77777777" w:rsidR="00E56ABF" w:rsidRPr="00E56ABF" w:rsidRDefault="00E56ABF" w:rsidP="009A064D">
            <w:pPr>
              <w:jc w:val="center"/>
              <w:rPr>
                <w:rFonts w:cs="Arial"/>
              </w:rPr>
            </w:pPr>
            <w:r w:rsidRPr="00E56ABF">
              <w:rPr>
                <w:rFonts w:cs="Arial"/>
              </w:rPr>
              <w:t>30.00</w:t>
            </w:r>
          </w:p>
        </w:tc>
        <w:tc>
          <w:tcPr>
            <w:tcW w:w="849" w:type="dxa"/>
            <w:tcBorders>
              <w:top w:val="nil"/>
              <w:left w:val="nil"/>
              <w:bottom w:val="single" w:sz="8" w:space="0" w:color="auto"/>
              <w:right w:val="single" w:sz="8" w:space="0" w:color="auto"/>
            </w:tcBorders>
            <w:shd w:val="clear" w:color="auto" w:fill="auto"/>
            <w:vAlign w:val="center"/>
            <w:hideMark/>
          </w:tcPr>
          <w:p w14:paraId="2C816BF3" w14:textId="77777777" w:rsidR="00E56ABF" w:rsidRPr="00E56ABF" w:rsidRDefault="00E56ABF" w:rsidP="009A064D">
            <w:pPr>
              <w:jc w:val="center"/>
              <w:rPr>
                <w:rFonts w:cs="Arial"/>
              </w:rPr>
            </w:pPr>
            <w:r w:rsidRPr="00E56ABF">
              <w:rPr>
                <w:rFonts w:cs="Arial"/>
              </w:rPr>
              <w:t>27.64</w:t>
            </w:r>
          </w:p>
        </w:tc>
        <w:tc>
          <w:tcPr>
            <w:tcW w:w="849" w:type="dxa"/>
            <w:tcBorders>
              <w:top w:val="nil"/>
              <w:left w:val="nil"/>
              <w:bottom w:val="single" w:sz="8" w:space="0" w:color="auto"/>
              <w:right w:val="single" w:sz="8" w:space="0" w:color="auto"/>
            </w:tcBorders>
            <w:shd w:val="clear" w:color="auto" w:fill="auto"/>
            <w:vAlign w:val="center"/>
            <w:hideMark/>
          </w:tcPr>
          <w:p w14:paraId="2C816BF4" w14:textId="77777777" w:rsidR="00E56ABF" w:rsidRPr="00E56ABF" w:rsidRDefault="00E56ABF" w:rsidP="009A064D">
            <w:pPr>
              <w:jc w:val="center"/>
              <w:rPr>
                <w:rFonts w:cs="Arial"/>
              </w:rPr>
            </w:pPr>
            <w:r w:rsidRPr="00E56ABF">
              <w:rPr>
                <w:rFonts w:cs="Arial"/>
              </w:rPr>
              <w:t>32.25</w:t>
            </w:r>
          </w:p>
        </w:tc>
        <w:tc>
          <w:tcPr>
            <w:tcW w:w="1298" w:type="dxa"/>
            <w:tcBorders>
              <w:top w:val="nil"/>
              <w:left w:val="nil"/>
              <w:bottom w:val="single" w:sz="8" w:space="0" w:color="auto"/>
              <w:right w:val="single" w:sz="8" w:space="0" w:color="auto"/>
            </w:tcBorders>
            <w:shd w:val="clear" w:color="auto" w:fill="auto"/>
            <w:vAlign w:val="center"/>
            <w:hideMark/>
          </w:tcPr>
          <w:p w14:paraId="2C816BF5" w14:textId="77777777" w:rsidR="00E56ABF" w:rsidRPr="00E56ABF" w:rsidRDefault="00E56ABF" w:rsidP="009A064D">
            <w:pPr>
              <w:jc w:val="center"/>
              <w:rPr>
                <w:rFonts w:cs="Arial"/>
              </w:rPr>
            </w:pPr>
            <w:r w:rsidRPr="00E56ABF">
              <w:rPr>
                <w:rFonts w:cs="Arial"/>
              </w:rPr>
              <w:t>33.11</w:t>
            </w:r>
          </w:p>
        </w:tc>
      </w:tr>
      <w:tr w:rsidR="009A064D" w:rsidRPr="00E56ABF" w14:paraId="2C816BFF"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BF7" w14:textId="77777777" w:rsidR="00E56ABF" w:rsidRPr="00E56ABF" w:rsidRDefault="00E56ABF" w:rsidP="00E56ABF">
            <w:pPr>
              <w:rPr>
                <w:rFonts w:cs="Arial"/>
              </w:rPr>
            </w:pPr>
            <w:r w:rsidRPr="00E56ABF">
              <w:rPr>
                <w:rFonts w:cs="Arial"/>
              </w:rPr>
              <w:t>Brownedge Road, Lostock Hall</w:t>
            </w:r>
          </w:p>
        </w:tc>
        <w:tc>
          <w:tcPr>
            <w:tcW w:w="1391" w:type="dxa"/>
            <w:tcBorders>
              <w:top w:val="nil"/>
              <w:left w:val="nil"/>
              <w:bottom w:val="single" w:sz="8" w:space="0" w:color="auto"/>
              <w:right w:val="single" w:sz="8" w:space="0" w:color="auto"/>
            </w:tcBorders>
            <w:shd w:val="clear" w:color="auto" w:fill="auto"/>
            <w:vAlign w:val="center"/>
            <w:hideMark/>
          </w:tcPr>
          <w:p w14:paraId="2C816BF8"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BF9"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BFA" w14:textId="77777777" w:rsidR="00E56ABF" w:rsidRPr="00E56ABF" w:rsidRDefault="00E56ABF" w:rsidP="009A064D">
            <w:pPr>
              <w:jc w:val="center"/>
              <w:rPr>
                <w:rFonts w:cs="Arial"/>
                <w:b/>
                <w:bCs/>
              </w:rPr>
            </w:pPr>
            <w:r w:rsidRPr="00E56ABF">
              <w:rPr>
                <w:rFonts w:cs="Arial"/>
                <w:b/>
                <w:bCs/>
              </w:rPr>
              <w:t>43.00</w:t>
            </w:r>
          </w:p>
        </w:tc>
        <w:tc>
          <w:tcPr>
            <w:tcW w:w="937" w:type="dxa"/>
            <w:tcBorders>
              <w:top w:val="nil"/>
              <w:left w:val="nil"/>
              <w:bottom w:val="single" w:sz="8" w:space="0" w:color="auto"/>
              <w:right w:val="single" w:sz="8" w:space="0" w:color="auto"/>
            </w:tcBorders>
            <w:shd w:val="clear" w:color="auto" w:fill="auto"/>
            <w:vAlign w:val="center"/>
            <w:hideMark/>
          </w:tcPr>
          <w:p w14:paraId="2C816BFB" w14:textId="77777777" w:rsidR="00E56ABF" w:rsidRPr="00E56ABF" w:rsidRDefault="00E56ABF" w:rsidP="009A064D">
            <w:pPr>
              <w:jc w:val="center"/>
              <w:rPr>
                <w:rFonts w:cs="Arial"/>
              </w:rPr>
            </w:pPr>
            <w:r w:rsidRPr="00E56ABF">
              <w:rPr>
                <w:rFonts w:cs="Arial"/>
              </w:rPr>
              <w:t>37.00</w:t>
            </w:r>
          </w:p>
        </w:tc>
        <w:tc>
          <w:tcPr>
            <w:tcW w:w="849" w:type="dxa"/>
            <w:tcBorders>
              <w:top w:val="nil"/>
              <w:left w:val="nil"/>
              <w:bottom w:val="single" w:sz="8" w:space="0" w:color="auto"/>
              <w:right w:val="single" w:sz="8" w:space="0" w:color="auto"/>
            </w:tcBorders>
            <w:shd w:val="clear" w:color="auto" w:fill="auto"/>
            <w:vAlign w:val="center"/>
            <w:hideMark/>
          </w:tcPr>
          <w:p w14:paraId="2C816BFC" w14:textId="77777777" w:rsidR="00E56ABF" w:rsidRPr="00E56ABF" w:rsidRDefault="00E56ABF" w:rsidP="009A064D">
            <w:pPr>
              <w:jc w:val="center"/>
              <w:rPr>
                <w:rFonts w:cs="Arial"/>
              </w:rPr>
            </w:pPr>
            <w:r w:rsidRPr="00E56ABF">
              <w:rPr>
                <w:rFonts w:cs="Arial"/>
              </w:rPr>
              <w:t>33.68</w:t>
            </w:r>
          </w:p>
        </w:tc>
        <w:tc>
          <w:tcPr>
            <w:tcW w:w="849" w:type="dxa"/>
            <w:tcBorders>
              <w:top w:val="nil"/>
              <w:left w:val="nil"/>
              <w:bottom w:val="single" w:sz="8" w:space="0" w:color="auto"/>
              <w:right w:val="single" w:sz="8" w:space="0" w:color="auto"/>
            </w:tcBorders>
            <w:shd w:val="clear" w:color="auto" w:fill="auto"/>
            <w:vAlign w:val="center"/>
            <w:hideMark/>
          </w:tcPr>
          <w:p w14:paraId="2C816BFD" w14:textId="77777777" w:rsidR="00E56ABF" w:rsidRPr="00E56ABF" w:rsidRDefault="00E56ABF" w:rsidP="009A064D">
            <w:pPr>
              <w:jc w:val="center"/>
              <w:rPr>
                <w:rFonts w:cs="Arial"/>
              </w:rPr>
            </w:pPr>
            <w:r w:rsidRPr="00E56ABF">
              <w:rPr>
                <w:rFonts w:cs="Arial"/>
              </w:rPr>
              <w:t>38.11</w:t>
            </w:r>
          </w:p>
        </w:tc>
        <w:tc>
          <w:tcPr>
            <w:tcW w:w="1298" w:type="dxa"/>
            <w:tcBorders>
              <w:top w:val="nil"/>
              <w:left w:val="nil"/>
              <w:bottom w:val="single" w:sz="8" w:space="0" w:color="auto"/>
              <w:right w:val="single" w:sz="8" w:space="0" w:color="auto"/>
            </w:tcBorders>
            <w:shd w:val="clear" w:color="auto" w:fill="auto"/>
            <w:vAlign w:val="center"/>
            <w:hideMark/>
          </w:tcPr>
          <w:p w14:paraId="2C816BFE" w14:textId="77777777" w:rsidR="00E56ABF" w:rsidRPr="00E56ABF" w:rsidRDefault="00E56ABF" w:rsidP="009A064D">
            <w:pPr>
              <w:jc w:val="center"/>
              <w:rPr>
                <w:rFonts w:cs="Arial"/>
                <w:b/>
                <w:bCs/>
              </w:rPr>
            </w:pPr>
            <w:r w:rsidRPr="00E56ABF">
              <w:rPr>
                <w:rFonts w:cs="Arial"/>
                <w:b/>
                <w:bCs/>
              </w:rPr>
              <w:t>40.03</w:t>
            </w:r>
          </w:p>
        </w:tc>
      </w:tr>
      <w:tr w:rsidR="009A064D" w:rsidRPr="00E56ABF" w14:paraId="2C816C08"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C00" w14:textId="77777777" w:rsidR="00E56ABF" w:rsidRPr="00E56ABF" w:rsidRDefault="00E56ABF" w:rsidP="00E56ABF">
            <w:pPr>
              <w:rPr>
                <w:rFonts w:cs="Arial"/>
              </w:rPr>
            </w:pPr>
            <w:r w:rsidRPr="00E56ABF">
              <w:rPr>
                <w:rFonts w:cs="Arial"/>
              </w:rPr>
              <w:t>Tardy Gate PH, Leyland Rd, Lostock Hall</w:t>
            </w:r>
          </w:p>
        </w:tc>
        <w:tc>
          <w:tcPr>
            <w:tcW w:w="1391" w:type="dxa"/>
            <w:tcBorders>
              <w:top w:val="nil"/>
              <w:left w:val="nil"/>
              <w:bottom w:val="single" w:sz="8" w:space="0" w:color="auto"/>
              <w:right w:val="single" w:sz="8" w:space="0" w:color="auto"/>
            </w:tcBorders>
            <w:shd w:val="clear" w:color="auto" w:fill="auto"/>
            <w:vAlign w:val="center"/>
            <w:hideMark/>
          </w:tcPr>
          <w:p w14:paraId="2C816C01"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C02"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C03" w14:textId="77777777" w:rsidR="00E56ABF" w:rsidRPr="00E56ABF" w:rsidRDefault="00E56ABF" w:rsidP="009A064D">
            <w:pPr>
              <w:jc w:val="center"/>
              <w:rPr>
                <w:rFonts w:cs="Arial"/>
              </w:rPr>
            </w:pPr>
            <w:r w:rsidRPr="00E56ABF">
              <w:rPr>
                <w:rFonts w:cs="Arial"/>
              </w:rPr>
              <w:t>37.00</w:t>
            </w:r>
          </w:p>
        </w:tc>
        <w:tc>
          <w:tcPr>
            <w:tcW w:w="937" w:type="dxa"/>
            <w:tcBorders>
              <w:top w:val="nil"/>
              <w:left w:val="nil"/>
              <w:bottom w:val="single" w:sz="8" w:space="0" w:color="auto"/>
              <w:right w:val="single" w:sz="8" w:space="0" w:color="auto"/>
            </w:tcBorders>
            <w:shd w:val="clear" w:color="auto" w:fill="auto"/>
            <w:vAlign w:val="center"/>
            <w:hideMark/>
          </w:tcPr>
          <w:p w14:paraId="2C816C04" w14:textId="77777777" w:rsidR="00E56ABF" w:rsidRPr="00E56ABF" w:rsidRDefault="00E56ABF" w:rsidP="009A064D">
            <w:pPr>
              <w:jc w:val="center"/>
              <w:rPr>
                <w:rFonts w:cs="Arial"/>
              </w:rPr>
            </w:pPr>
            <w:r w:rsidRPr="00E56ABF">
              <w:rPr>
                <w:rFonts w:cs="Arial"/>
              </w:rPr>
              <w:t>34.48</w:t>
            </w:r>
          </w:p>
        </w:tc>
        <w:tc>
          <w:tcPr>
            <w:tcW w:w="849" w:type="dxa"/>
            <w:tcBorders>
              <w:top w:val="nil"/>
              <w:left w:val="nil"/>
              <w:bottom w:val="single" w:sz="8" w:space="0" w:color="auto"/>
              <w:right w:val="single" w:sz="8" w:space="0" w:color="auto"/>
            </w:tcBorders>
            <w:shd w:val="clear" w:color="auto" w:fill="auto"/>
            <w:vAlign w:val="center"/>
            <w:hideMark/>
          </w:tcPr>
          <w:p w14:paraId="2C816C05" w14:textId="77777777" w:rsidR="00E56ABF" w:rsidRPr="00E56ABF" w:rsidRDefault="00E56ABF" w:rsidP="009A064D">
            <w:pPr>
              <w:jc w:val="center"/>
              <w:rPr>
                <w:rFonts w:cs="Arial"/>
              </w:rPr>
            </w:pPr>
            <w:r w:rsidRPr="00E56ABF">
              <w:rPr>
                <w:rFonts w:cs="Arial"/>
              </w:rPr>
              <w:t>29.78</w:t>
            </w:r>
          </w:p>
        </w:tc>
        <w:tc>
          <w:tcPr>
            <w:tcW w:w="849" w:type="dxa"/>
            <w:tcBorders>
              <w:top w:val="nil"/>
              <w:left w:val="nil"/>
              <w:bottom w:val="single" w:sz="8" w:space="0" w:color="auto"/>
              <w:right w:val="single" w:sz="8" w:space="0" w:color="auto"/>
            </w:tcBorders>
            <w:shd w:val="clear" w:color="auto" w:fill="auto"/>
            <w:vAlign w:val="center"/>
            <w:hideMark/>
          </w:tcPr>
          <w:p w14:paraId="2C816C06" w14:textId="77777777" w:rsidR="00E56ABF" w:rsidRPr="00E56ABF" w:rsidRDefault="00E56ABF" w:rsidP="009A064D">
            <w:pPr>
              <w:jc w:val="center"/>
              <w:rPr>
                <w:rFonts w:cs="Arial"/>
              </w:rPr>
            </w:pPr>
            <w:r w:rsidRPr="00E56ABF">
              <w:rPr>
                <w:rFonts w:cs="Arial"/>
              </w:rPr>
              <w:t>37.68</w:t>
            </w:r>
          </w:p>
        </w:tc>
        <w:tc>
          <w:tcPr>
            <w:tcW w:w="1298" w:type="dxa"/>
            <w:tcBorders>
              <w:top w:val="nil"/>
              <w:left w:val="nil"/>
              <w:bottom w:val="single" w:sz="8" w:space="0" w:color="auto"/>
              <w:right w:val="single" w:sz="8" w:space="0" w:color="auto"/>
            </w:tcBorders>
            <w:shd w:val="clear" w:color="auto" w:fill="auto"/>
            <w:vAlign w:val="center"/>
            <w:hideMark/>
          </w:tcPr>
          <w:p w14:paraId="2C816C07" w14:textId="77777777" w:rsidR="00E56ABF" w:rsidRPr="00E56ABF" w:rsidRDefault="00E56ABF" w:rsidP="009A064D">
            <w:pPr>
              <w:jc w:val="center"/>
              <w:rPr>
                <w:rFonts w:cs="Arial"/>
              </w:rPr>
            </w:pPr>
            <w:r w:rsidRPr="00E56ABF">
              <w:rPr>
                <w:rFonts w:cs="Arial"/>
              </w:rPr>
              <w:t>35.32</w:t>
            </w:r>
          </w:p>
        </w:tc>
      </w:tr>
      <w:tr w:rsidR="009A064D" w:rsidRPr="00E56ABF" w14:paraId="2C816C11"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C09" w14:textId="77777777" w:rsidR="00E56ABF" w:rsidRPr="00E56ABF" w:rsidRDefault="00E56ABF" w:rsidP="00E56ABF">
            <w:pPr>
              <w:rPr>
                <w:rFonts w:cs="Arial"/>
              </w:rPr>
            </w:pPr>
            <w:r w:rsidRPr="00E56ABF">
              <w:rPr>
                <w:rFonts w:cs="Arial"/>
              </w:rPr>
              <w:t>Leyland Road, Lostock Hall</w:t>
            </w:r>
          </w:p>
        </w:tc>
        <w:tc>
          <w:tcPr>
            <w:tcW w:w="1391" w:type="dxa"/>
            <w:tcBorders>
              <w:top w:val="nil"/>
              <w:left w:val="nil"/>
              <w:bottom w:val="single" w:sz="8" w:space="0" w:color="auto"/>
              <w:right w:val="single" w:sz="8" w:space="0" w:color="auto"/>
            </w:tcBorders>
            <w:shd w:val="clear" w:color="auto" w:fill="auto"/>
            <w:vAlign w:val="center"/>
            <w:hideMark/>
          </w:tcPr>
          <w:p w14:paraId="2C816C0A"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C0B"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C0C" w14:textId="77777777" w:rsidR="00E56ABF" w:rsidRPr="00E56ABF" w:rsidRDefault="00E56ABF" w:rsidP="009A064D">
            <w:pPr>
              <w:jc w:val="center"/>
              <w:rPr>
                <w:rFonts w:cs="Arial"/>
              </w:rPr>
            </w:pPr>
            <w:r w:rsidRPr="00E56ABF">
              <w:rPr>
                <w:rFonts w:cs="Arial"/>
              </w:rPr>
              <w:t>34.00</w:t>
            </w:r>
          </w:p>
        </w:tc>
        <w:tc>
          <w:tcPr>
            <w:tcW w:w="937" w:type="dxa"/>
            <w:tcBorders>
              <w:top w:val="nil"/>
              <w:left w:val="nil"/>
              <w:bottom w:val="single" w:sz="8" w:space="0" w:color="auto"/>
              <w:right w:val="single" w:sz="8" w:space="0" w:color="auto"/>
            </w:tcBorders>
            <w:shd w:val="clear" w:color="auto" w:fill="auto"/>
            <w:vAlign w:val="center"/>
            <w:hideMark/>
          </w:tcPr>
          <w:p w14:paraId="2C816C0D" w14:textId="77777777" w:rsidR="00E56ABF" w:rsidRPr="00E56ABF" w:rsidRDefault="00E56ABF" w:rsidP="009A064D">
            <w:pPr>
              <w:jc w:val="center"/>
              <w:rPr>
                <w:rFonts w:cs="Arial"/>
              </w:rPr>
            </w:pPr>
            <w:r w:rsidRPr="00E56ABF">
              <w:rPr>
                <w:rFonts w:cs="Arial"/>
              </w:rPr>
              <w:t>34.00</w:t>
            </w:r>
          </w:p>
        </w:tc>
        <w:tc>
          <w:tcPr>
            <w:tcW w:w="849" w:type="dxa"/>
            <w:tcBorders>
              <w:top w:val="nil"/>
              <w:left w:val="nil"/>
              <w:bottom w:val="single" w:sz="8" w:space="0" w:color="auto"/>
              <w:right w:val="single" w:sz="8" w:space="0" w:color="auto"/>
            </w:tcBorders>
            <w:shd w:val="clear" w:color="auto" w:fill="auto"/>
            <w:vAlign w:val="center"/>
            <w:hideMark/>
          </w:tcPr>
          <w:p w14:paraId="2C816C0E" w14:textId="77777777" w:rsidR="00E56ABF" w:rsidRPr="00E56ABF" w:rsidRDefault="00E56ABF" w:rsidP="009A064D">
            <w:pPr>
              <w:jc w:val="center"/>
              <w:rPr>
                <w:rFonts w:cs="Arial"/>
              </w:rPr>
            </w:pPr>
            <w:r w:rsidRPr="00E56ABF">
              <w:rPr>
                <w:rFonts w:cs="Arial"/>
              </w:rPr>
              <w:t>30.00</w:t>
            </w:r>
          </w:p>
        </w:tc>
        <w:tc>
          <w:tcPr>
            <w:tcW w:w="849" w:type="dxa"/>
            <w:tcBorders>
              <w:top w:val="nil"/>
              <w:left w:val="nil"/>
              <w:bottom w:val="single" w:sz="8" w:space="0" w:color="auto"/>
              <w:right w:val="single" w:sz="8" w:space="0" w:color="auto"/>
            </w:tcBorders>
            <w:shd w:val="clear" w:color="auto" w:fill="auto"/>
            <w:vAlign w:val="center"/>
            <w:hideMark/>
          </w:tcPr>
          <w:p w14:paraId="2C816C0F" w14:textId="77777777" w:rsidR="00E56ABF" w:rsidRPr="00E56ABF" w:rsidRDefault="00E56ABF" w:rsidP="009A064D">
            <w:pPr>
              <w:jc w:val="center"/>
              <w:rPr>
                <w:rFonts w:cs="Arial"/>
              </w:rPr>
            </w:pPr>
            <w:r w:rsidRPr="00E56ABF">
              <w:rPr>
                <w:rFonts w:cs="Arial"/>
              </w:rPr>
              <w:t>32.26</w:t>
            </w:r>
          </w:p>
        </w:tc>
        <w:tc>
          <w:tcPr>
            <w:tcW w:w="1298" w:type="dxa"/>
            <w:tcBorders>
              <w:top w:val="nil"/>
              <w:left w:val="nil"/>
              <w:bottom w:val="single" w:sz="8" w:space="0" w:color="auto"/>
              <w:right w:val="single" w:sz="8" w:space="0" w:color="auto"/>
            </w:tcBorders>
            <w:shd w:val="clear" w:color="auto" w:fill="auto"/>
            <w:vAlign w:val="center"/>
            <w:hideMark/>
          </w:tcPr>
          <w:p w14:paraId="2C816C10" w14:textId="77777777" w:rsidR="00E56ABF" w:rsidRPr="00E56ABF" w:rsidRDefault="00E56ABF" w:rsidP="009A064D">
            <w:pPr>
              <w:jc w:val="center"/>
              <w:rPr>
                <w:rFonts w:cs="Arial"/>
              </w:rPr>
            </w:pPr>
            <w:r w:rsidRPr="00E56ABF">
              <w:rPr>
                <w:rFonts w:cs="Arial"/>
              </w:rPr>
              <w:t>27.73</w:t>
            </w:r>
          </w:p>
        </w:tc>
      </w:tr>
      <w:tr w:rsidR="009A064D" w:rsidRPr="00E56ABF" w14:paraId="2C816C1A"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C12" w14:textId="77777777" w:rsidR="00E56ABF" w:rsidRPr="00E56ABF" w:rsidRDefault="006A277E" w:rsidP="00E56ABF">
            <w:pPr>
              <w:rPr>
                <w:rFonts w:cs="Arial"/>
              </w:rPr>
            </w:pPr>
            <w:r>
              <w:rPr>
                <w:rFonts w:cs="Arial"/>
              </w:rPr>
              <w:t>Library Liverpool Road, Penwort</w:t>
            </w:r>
            <w:r w:rsidR="00E56ABF" w:rsidRPr="00E56ABF">
              <w:rPr>
                <w:rFonts w:cs="Arial"/>
              </w:rPr>
              <w:t>ham</w:t>
            </w:r>
          </w:p>
        </w:tc>
        <w:tc>
          <w:tcPr>
            <w:tcW w:w="1391" w:type="dxa"/>
            <w:tcBorders>
              <w:top w:val="nil"/>
              <w:left w:val="nil"/>
              <w:bottom w:val="single" w:sz="8" w:space="0" w:color="auto"/>
              <w:right w:val="single" w:sz="8" w:space="0" w:color="auto"/>
            </w:tcBorders>
            <w:shd w:val="clear" w:color="auto" w:fill="auto"/>
            <w:vAlign w:val="center"/>
            <w:hideMark/>
          </w:tcPr>
          <w:p w14:paraId="2C816C13"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C14"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C15" w14:textId="77777777" w:rsidR="00E56ABF" w:rsidRPr="00E56ABF" w:rsidRDefault="00E56ABF" w:rsidP="009A064D">
            <w:pPr>
              <w:jc w:val="center"/>
              <w:rPr>
                <w:rFonts w:cs="Arial"/>
              </w:rPr>
            </w:pPr>
            <w:r w:rsidRPr="00E56ABF">
              <w:rPr>
                <w:rFonts w:cs="Arial"/>
              </w:rPr>
              <w:t>28.00</w:t>
            </w:r>
          </w:p>
        </w:tc>
        <w:tc>
          <w:tcPr>
            <w:tcW w:w="937" w:type="dxa"/>
            <w:tcBorders>
              <w:top w:val="nil"/>
              <w:left w:val="nil"/>
              <w:bottom w:val="single" w:sz="8" w:space="0" w:color="auto"/>
              <w:right w:val="single" w:sz="8" w:space="0" w:color="auto"/>
            </w:tcBorders>
            <w:shd w:val="clear" w:color="auto" w:fill="auto"/>
            <w:vAlign w:val="center"/>
            <w:hideMark/>
          </w:tcPr>
          <w:p w14:paraId="2C816C16" w14:textId="77777777" w:rsidR="00E56ABF" w:rsidRPr="00E56ABF" w:rsidRDefault="00E56ABF" w:rsidP="009A064D">
            <w:pPr>
              <w:jc w:val="center"/>
              <w:rPr>
                <w:rFonts w:cs="Arial"/>
              </w:rPr>
            </w:pPr>
            <w:r w:rsidRPr="00E56ABF">
              <w:rPr>
                <w:rFonts w:cs="Arial"/>
              </w:rPr>
              <w:t>28.00</w:t>
            </w:r>
          </w:p>
        </w:tc>
        <w:tc>
          <w:tcPr>
            <w:tcW w:w="849" w:type="dxa"/>
            <w:tcBorders>
              <w:top w:val="nil"/>
              <w:left w:val="nil"/>
              <w:bottom w:val="single" w:sz="8" w:space="0" w:color="auto"/>
              <w:right w:val="single" w:sz="8" w:space="0" w:color="auto"/>
            </w:tcBorders>
            <w:shd w:val="clear" w:color="auto" w:fill="auto"/>
            <w:vAlign w:val="center"/>
            <w:hideMark/>
          </w:tcPr>
          <w:p w14:paraId="2C816C17" w14:textId="77777777" w:rsidR="00E56ABF" w:rsidRPr="00E56ABF" w:rsidRDefault="00E56ABF" w:rsidP="009A064D">
            <w:pPr>
              <w:jc w:val="center"/>
              <w:rPr>
                <w:rFonts w:cs="Arial"/>
              </w:rPr>
            </w:pPr>
            <w:r w:rsidRPr="00E56ABF">
              <w:rPr>
                <w:rFonts w:cs="Arial"/>
              </w:rPr>
              <w:t>23.00</w:t>
            </w:r>
          </w:p>
        </w:tc>
        <w:tc>
          <w:tcPr>
            <w:tcW w:w="849" w:type="dxa"/>
            <w:tcBorders>
              <w:top w:val="nil"/>
              <w:left w:val="nil"/>
              <w:bottom w:val="single" w:sz="8" w:space="0" w:color="auto"/>
              <w:right w:val="single" w:sz="8" w:space="0" w:color="auto"/>
            </w:tcBorders>
            <w:shd w:val="clear" w:color="auto" w:fill="auto"/>
            <w:vAlign w:val="center"/>
            <w:hideMark/>
          </w:tcPr>
          <w:p w14:paraId="2C816C18" w14:textId="77777777" w:rsidR="00E56ABF" w:rsidRPr="00E56ABF" w:rsidRDefault="00E56ABF" w:rsidP="009A064D">
            <w:pPr>
              <w:jc w:val="center"/>
              <w:rPr>
                <w:rFonts w:cs="Arial"/>
              </w:rPr>
            </w:pPr>
            <w:r w:rsidRPr="00E56ABF">
              <w:rPr>
                <w:rFonts w:cs="Arial"/>
              </w:rPr>
              <w:t>28.20</w:t>
            </w:r>
          </w:p>
        </w:tc>
        <w:tc>
          <w:tcPr>
            <w:tcW w:w="1298" w:type="dxa"/>
            <w:tcBorders>
              <w:top w:val="nil"/>
              <w:left w:val="nil"/>
              <w:bottom w:val="single" w:sz="8" w:space="0" w:color="auto"/>
              <w:right w:val="single" w:sz="8" w:space="0" w:color="auto"/>
            </w:tcBorders>
            <w:shd w:val="clear" w:color="auto" w:fill="auto"/>
            <w:vAlign w:val="center"/>
            <w:hideMark/>
          </w:tcPr>
          <w:p w14:paraId="2C816C19" w14:textId="77777777" w:rsidR="00E56ABF" w:rsidRPr="00E56ABF" w:rsidRDefault="00E56ABF" w:rsidP="009A064D">
            <w:pPr>
              <w:jc w:val="center"/>
              <w:rPr>
                <w:rFonts w:cs="Arial"/>
              </w:rPr>
            </w:pPr>
            <w:r w:rsidRPr="00E56ABF">
              <w:rPr>
                <w:rFonts w:cs="Arial"/>
              </w:rPr>
              <w:t>28.20</w:t>
            </w:r>
          </w:p>
        </w:tc>
      </w:tr>
      <w:tr w:rsidR="009A064D" w:rsidRPr="00E56ABF" w14:paraId="2C816C23" w14:textId="77777777" w:rsidTr="009A064D">
        <w:trPr>
          <w:trHeight w:val="1039"/>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C1B" w14:textId="77777777" w:rsidR="00E56ABF" w:rsidRPr="00E56ABF" w:rsidRDefault="00E56ABF" w:rsidP="00E56ABF">
            <w:pPr>
              <w:rPr>
                <w:rFonts w:cs="Arial"/>
              </w:rPr>
            </w:pPr>
            <w:r w:rsidRPr="00E56ABF">
              <w:rPr>
                <w:rFonts w:cs="Arial"/>
              </w:rPr>
              <w:lastRenderedPageBreak/>
              <w:t>"Robert</w:t>
            </w:r>
            <w:r w:rsidR="006A277E">
              <w:rPr>
                <w:rFonts w:cs="Arial"/>
              </w:rPr>
              <w:t xml:space="preserve"> </w:t>
            </w:r>
            <w:r w:rsidRPr="00E56ABF">
              <w:rPr>
                <w:rFonts w:cs="Arial"/>
              </w:rPr>
              <w:t>&amp;</w:t>
            </w:r>
            <w:r w:rsidR="006A277E">
              <w:rPr>
                <w:rFonts w:cs="Arial"/>
              </w:rPr>
              <w:t xml:space="preserve"> </w:t>
            </w:r>
            <w:r w:rsidRPr="00E56ABF">
              <w:rPr>
                <w:rFonts w:cs="Arial"/>
              </w:rPr>
              <w:t>Co", Liverpool Road, Penwortham</w:t>
            </w:r>
          </w:p>
        </w:tc>
        <w:tc>
          <w:tcPr>
            <w:tcW w:w="1391" w:type="dxa"/>
            <w:tcBorders>
              <w:top w:val="nil"/>
              <w:left w:val="nil"/>
              <w:bottom w:val="single" w:sz="8" w:space="0" w:color="auto"/>
              <w:right w:val="single" w:sz="8" w:space="0" w:color="auto"/>
            </w:tcBorders>
            <w:shd w:val="clear" w:color="auto" w:fill="auto"/>
            <w:vAlign w:val="center"/>
            <w:hideMark/>
          </w:tcPr>
          <w:p w14:paraId="2C816C1C"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C1D"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C1E" w14:textId="77777777" w:rsidR="00E56ABF" w:rsidRPr="00E56ABF" w:rsidRDefault="00E56ABF" w:rsidP="009A064D">
            <w:pPr>
              <w:jc w:val="center"/>
              <w:rPr>
                <w:rFonts w:cs="Arial"/>
              </w:rPr>
            </w:pPr>
            <w:r w:rsidRPr="00E56ABF">
              <w:rPr>
                <w:rFonts w:cs="Arial"/>
              </w:rPr>
              <w:t>26.00</w:t>
            </w:r>
          </w:p>
        </w:tc>
        <w:tc>
          <w:tcPr>
            <w:tcW w:w="937" w:type="dxa"/>
            <w:tcBorders>
              <w:top w:val="nil"/>
              <w:left w:val="nil"/>
              <w:bottom w:val="single" w:sz="8" w:space="0" w:color="auto"/>
              <w:right w:val="single" w:sz="8" w:space="0" w:color="auto"/>
            </w:tcBorders>
            <w:shd w:val="clear" w:color="auto" w:fill="auto"/>
            <w:vAlign w:val="center"/>
            <w:hideMark/>
          </w:tcPr>
          <w:p w14:paraId="2C816C1F" w14:textId="77777777" w:rsidR="00E56ABF" w:rsidRPr="00E56ABF" w:rsidRDefault="00E56ABF" w:rsidP="009A064D">
            <w:pPr>
              <w:jc w:val="center"/>
              <w:rPr>
                <w:rFonts w:cs="Arial"/>
              </w:rPr>
            </w:pPr>
            <w:r w:rsidRPr="00E56ABF">
              <w:rPr>
                <w:rFonts w:cs="Arial"/>
              </w:rPr>
              <w:t>38.00</w:t>
            </w:r>
          </w:p>
        </w:tc>
        <w:tc>
          <w:tcPr>
            <w:tcW w:w="849" w:type="dxa"/>
            <w:tcBorders>
              <w:top w:val="nil"/>
              <w:left w:val="nil"/>
              <w:bottom w:val="single" w:sz="8" w:space="0" w:color="auto"/>
              <w:right w:val="single" w:sz="8" w:space="0" w:color="auto"/>
            </w:tcBorders>
            <w:shd w:val="clear" w:color="auto" w:fill="auto"/>
            <w:vAlign w:val="center"/>
            <w:hideMark/>
          </w:tcPr>
          <w:p w14:paraId="2C816C20" w14:textId="77777777" w:rsidR="00E56ABF" w:rsidRPr="00E56ABF" w:rsidRDefault="00E56ABF" w:rsidP="009A064D">
            <w:pPr>
              <w:jc w:val="center"/>
              <w:rPr>
                <w:rFonts w:cs="Arial"/>
              </w:rPr>
            </w:pPr>
            <w:r w:rsidRPr="00E56ABF">
              <w:rPr>
                <w:rFonts w:cs="Arial"/>
              </w:rPr>
              <w:t>19.61</w:t>
            </w:r>
          </w:p>
        </w:tc>
        <w:tc>
          <w:tcPr>
            <w:tcW w:w="849" w:type="dxa"/>
            <w:tcBorders>
              <w:top w:val="nil"/>
              <w:left w:val="nil"/>
              <w:bottom w:val="single" w:sz="8" w:space="0" w:color="auto"/>
              <w:right w:val="single" w:sz="8" w:space="0" w:color="auto"/>
            </w:tcBorders>
            <w:shd w:val="clear" w:color="auto" w:fill="auto"/>
            <w:vAlign w:val="center"/>
            <w:hideMark/>
          </w:tcPr>
          <w:p w14:paraId="2C816C21" w14:textId="77777777" w:rsidR="00E56ABF" w:rsidRPr="00E56ABF" w:rsidRDefault="00E56ABF" w:rsidP="009A064D">
            <w:pPr>
              <w:jc w:val="center"/>
              <w:rPr>
                <w:rFonts w:cs="Arial"/>
              </w:rPr>
            </w:pPr>
            <w:r w:rsidRPr="00E56ABF">
              <w:rPr>
                <w:rFonts w:cs="Arial"/>
              </w:rPr>
              <w:t>24.61</w:t>
            </w:r>
          </w:p>
        </w:tc>
        <w:tc>
          <w:tcPr>
            <w:tcW w:w="1298" w:type="dxa"/>
            <w:tcBorders>
              <w:top w:val="nil"/>
              <w:left w:val="nil"/>
              <w:bottom w:val="single" w:sz="8" w:space="0" w:color="auto"/>
              <w:right w:val="single" w:sz="8" w:space="0" w:color="auto"/>
            </w:tcBorders>
            <w:shd w:val="clear" w:color="auto" w:fill="auto"/>
            <w:vAlign w:val="center"/>
            <w:hideMark/>
          </w:tcPr>
          <w:p w14:paraId="2C816C22" w14:textId="77777777" w:rsidR="00E56ABF" w:rsidRPr="00E56ABF" w:rsidRDefault="00E56ABF" w:rsidP="009A064D">
            <w:pPr>
              <w:jc w:val="center"/>
              <w:rPr>
                <w:rFonts w:cs="Arial"/>
              </w:rPr>
            </w:pPr>
            <w:r w:rsidRPr="00E56ABF">
              <w:rPr>
                <w:rFonts w:cs="Arial"/>
              </w:rPr>
              <w:t>23.22</w:t>
            </w:r>
          </w:p>
        </w:tc>
      </w:tr>
      <w:tr w:rsidR="009A064D" w:rsidRPr="00E56ABF" w14:paraId="2C816C2C"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C24" w14:textId="77777777" w:rsidR="00E56ABF" w:rsidRPr="00E56ABF" w:rsidRDefault="00E56ABF" w:rsidP="00E56ABF">
            <w:pPr>
              <w:rPr>
                <w:rFonts w:cs="Arial"/>
              </w:rPr>
            </w:pPr>
            <w:r w:rsidRPr="00E56ABF">
              <w:rPr>
                <w:rFonts w:cs="Arial"/>
              </w:rPr>
              <w:t>Fleece Inn, Liverpool Road, Penwortham</w:t>
            </w:r>
          </w:p>
        </w:tc>
        <w:tc>
          <w:tcPr>
            <w:tcW w:w="1391" w:type="dxa"/>
            <w:tcBorders>
              <w:top w:val="nil"/>
              <w:left w:val="nil"/>
              <w:bottom w:val="single" w:sz="8" w:space="0" w:color="auto"/>
              <w:right w:val="single" w:sz="8" w:space="0" w:color="auto"/>
            </w:tcBorders>
            <w:shd w:val="clear" w:color="auto" w:fill="auto"/>
            <w:vAlign w:val="center"/>
            <w:hideMark/>
          </w:tcPr>
          <w:p w14:paraId="2C816C25" w14:textId="77777777" w:rsidR="00E56ABF" w:rsidRPr="00E56ABF" w:rsidRDefault="00E56ABF" w:rsidP="00E56ABF">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C26" w14:textId="77777777" w:rsidR="00E56ABF" w:rsidRPr="00E56ABF" w:rsidRDefault="00E56ABF" w:rsidP="00E56ABF">
            <w:pPr>
              <w:rPr>
                <w:rFonts w:cs="Arial"/>
              </w:rPr>
            </w:pPr>
            <w:r w:rsidRPr="00E56ABF">
              <w:rPr>
                <w:rFonts w:cs="Arial"/>
              </w:rPr>
              <w:t>Diffusion Tube</w:t>
            </w:r>
          </w:p>
        </w:tc>
        <w:tc>
          <w:tcPr>
            <w:tcW w:w="849" w:type="dxa"/>
            <w:tcBorders>
              <w:top w:val="nil"/>
              <w:left w:val="nil"/>
              <w:bottom w:val="single" w:sz="4" w:space="0" w:color="auto"/>
              <w:right w:val="single" w:sz="8" w:space="0" w:color="auto"/>
            </w:tcBorders>
            <w:shd w:val="clear" w:color="auto" w:fill="auto"/>
            <w:vAlign w:val="center"/>
            <w:hideMark/>
          </w:tcPr>
          <w:p w14:paraId="2C816C27" w14:textId="77777777" w:rsidR="00E56ABF" w:rsidRPr="00E56ABF" w:rsidRDefault="00E56ABF" w:rsidP="009A064D">
            <w:pPr>
              <w:jc w:val="center"/>
              <w:rPr>
                <w:rFonts w:cs="Arial"/>
              </w:rPr>
            </w:pPr>
            <w:r w:rsidRPr="00E56ABF">
              <w:rPr>
                <w:rFonts w:cs="Arial"/>
              </w:rPr>
              <w:t>32.00</w:t>
            </w:r>
          </w:p>
        </w:tc>
        <w:tc>
          <w:tcPr>
            <w:tcW w:w="937" w:type="dxa"/>
            <w:tcBorders>
              <w:top w:val="nil"/>
              <w:left w:val="nil"/>
              <w:bottom w:val="single" w:sz="4" w:space="0" w:color="auto"/>
              <w:right w:val="single" w:sz="8" w:space="0" w:color="auto"/>
            </w:tcBorders>
            <w:shd w:val="clear" w:color="auto" w:fill="auto"/>
            <w:vAlign w:val="center"/>
            <w:hideMark/>
          </w:tcPr>
          <w:p w14:paraId="2C816C28" w14:textId="77777777" w:rsidR="00E56ABF" w:rsidRPr="00E56ABF" w:rsidRDefault="00E56ABF" w:rsidP="009A064D">
            <w:pPr>
              <w:jc w:val="center"/>
              <w:rPr>
                <w:rFonts w:cs="Arial"/>
              </w:rPr>
            </w:pPr>
            <w:r w:rsidRPr="00E56ABF">
              <w:rPr>
                <w:rFonts w:cs="Arial"/>
              </w:rPr>
              <w:t>32.00</w:t>
            </w:r>
          </w:p>
        </w:tc>
        <w:tc>
          <w:tcPr>
            <w:tcW w:w="849" w:type="dxa"/>
            <w:tcBorders>
              <w:top w:val="nil"/>
              <w:left w:val="nil"/>
              <w:bottom w:val="single" w:sz="4" w:space="0" w:color="auto"/>
              <w:right w:val="single" w:sz="8" w:space="0" w:color="auto"/>
            </w:tcBorders>
            <w:shd w:val="clear" w:color="auto" w:fill="auto"/>
            <w:vAlign w:val="center"/>
            <w:hideMark/>
          </w:tcPr>
          <w:p w14:paraId="2C816C29" w14:textId="77777777" w:rsidR="00E56ABF" w:rsidRPr="00E56ABF" w:rsidRDefault="00E56ABF" w:rsidP="009A064D">
            <w:pPr>
              <w:jc w:val="center"/>
              <w:rPr>
                <w:rFonts w:cs="Arial"/>
              </w:rPr>
            </w:pPr>
            <w:r w:rsidRPr="00E56ABF">
              <w:rPr>
                <w:rFonts w:cs="Arial"/>
              </w:rPr>
              <w:t>27.30</w:t>
            </w:r>
          </w:p>
        </w:tc>
        <w:tc>
          <w:tcPr>
            <w:tcW w:w="849" w:type="dxa"/>
            <w:tcBorders>
              <w:top w:val="nil"/>
              <w:left w:val="nil"/>
              <w:bottom w:val="single" w:sz="4" w:space="0" w:color="auto"/>
              <w:right w:val="single" w:sz="8" w:space="0" w:color="auto"/>
            </w:tcBorders>
            <w:shd w:val="clear" w:color="auto" w:fill="auto"/>
            <w:vAlign w:val="center"/>
            <w:hideMark/>
          </w:tcPr>
          <w:p w14:paraId="2C816C2A" w14:textId="77777777" w:rsidR="00E56ABF" w:rsidRPr="00E56ABF" w:rsidRDefault="00E56ABF" w:rsidP="009A064D">
            <w:pPr>
              <w:jc w:val="center"/>
              <w:rPr>
                <w:rFonts w:cs="Arial"/>
              </w:rPr>
            </w:pPr>
            <w:r w:rsidRPr="00E56ABF">
              <w:rPr>
                <w:rFonts w:cs="Arial"/>
              </w:rPr>
              <w:t>31.07</w:t>
            </w:r>
          </w:p>
        </w:tc>
        <w:tc>
          <w:tcPr>
            <w:tcW w:w="1298" w:type="dxa"/>
            <w:tcBorders>
              <w:top w:val="nil"/>
              <w:left w:val="nil"/>
              <w:bottom w:val="single" w:sz="4" w:space="0" w:color="auto"/>
              <w:right w:val="single" w:sz="8" w:space="0" w:color="auto"/>
            </w:tcBorders>
            <w:shd w:val="clear" w:color="auto" w:fill="auto"/>
            <w:vAlign w:val="center"/>
            <w:hideMark/>
          </w:tcPr>
          <w:p w14:paraId="2C816C2B" w14:textId="77777777" w:rsidR="00E56ABF" w:rsidRPr="00E56ABF" w:rsidRDefault="00E56ABF" w:rsidP="009A064D">
            <w:pPr>
              <w:jc w:val="center"/>
              <w:rPr>
                <w:rFonts w:cs="Arial"/>
              </w:rPr>
            </w:pPr>
            <w:r w:rsidRPr="00E56ABF">
              <w:rPr>
                <w:rFonts w:cs="Arial"/>
              </w:rPr>
              <w:t>29.02</w:t>
            </w:r>
          </w:p>
        </w:tc>
      </w:tr>
      <w:tr w:rsidR="009A064D" w:rsidRPr="00E56ABF" w14:paraId="2C816C31" w14:textId="77777777" w:rsidTr="009A064D">
        <w:trPr>
          <w:trHeight w:val="782"/>
        </w:trPr>
        <w:tc>
          <w:tcPr>
            <w:tcW w:w="1794" w:type="dxa"/>
            <w:vMerge w:val="restart"/>
            <w:tcBorders>
              <w:top w:val="single" w:sz="8" w:space="0" w:color="auto"/>
              <w:left w:val="single" w:sz="8" w:space="0" w:color="auto"/>
              <w:right w:val="single" w:sz="8" w:space="0" w:color="auto"/>
            </w:tcBorders>
            <w:shd w:val="clear" w:color="000000" w:fill="00AF41"/>
            <w:vAlign w:val="center"/>
          </w:tcPr>
          <w:p w14:paraId="2C816C2D" w14:textId="77777777" w:rsidR="009A064D" w:rsidRPr="00E56ABF" w:rsidRDefault="009A064D" w:rsidP="009A064D">
            <w:pPr>
              <w:rPr>
                <w:rFonts w:cs="Arial"/>
                <w:b/>
                <w:bCs/>
              </w:rPr>
            </w:pPr>
            <w:r w:rsidRPr="00E56ABF">
              <w:rPr>
                <w:rFonts w:cs="Arial"/>
                <w:b/>
                <w:bCs/>
              </w:rPr>
              <w:t>Site ID</w:t>
            </w:r>
          </w:p>
        </w:tc>
        <w:tc>
          <w:tcPr>
            <w:tcW w:w="1391" w:type="dxa"/>
            <w:vMerge w:val="restart"/>
            <w:tcBorders>
              <w:top w:val="single" w:sz="8" w:space="0" w:color="auto"/>
              <w:left w:val="single" w:sz="8" w:space="0" w:color="auto"/>
              <w:right w:val="single" w:sz="8" w:space="0" w:color="auto"/>
            </w:tcBorders>
            <w:shd w:val="clear" w:color="000000" w:fill="00AF41"/>
            <w:vAlign w:val="center"/>
          </w:tcPr>
          <w:p w14:paraId="2C816C2E" w14:textId="77777777" w:rsidR="009A064D" w:rsidRPr="00E56ABF" w:rsidRDefault="009A064D" w:rsidP="009A064D">
            <w:pPr>
              <w:rPr>
                <w:rFonts w:cs="Arial"/>
                <w:b/>
                <w:bCs/>
              </w:rPr>
            </w:pPr>
            <w:r w:rsidRPr="00E56ABF">
              <w:rPr>
                <w:rFonts w:cs="Arial"/>
                <w:b/>
                <w:bCs/>
              </w:rPr>
              <w:t>Site Type</w:t>
            </w:r>
          </w:p>
        </w:tc>
        <w:tc>
          <w:tcPr>
            <w:tcW w:w="1353" w:type="dxa"/>
            <w:vMerge w:val="restart"/>
            <w:tcBorders>
              <w:top w:val="single" w:sz="8" w:space="0" w:color="auto"/>
              <w:left w:val="single" w:sz="8" w:space="0" w:color="auto"/>
              <w:right w:val="single" w:sz="4" w:space="0" w:color="auto"/>
            </w:tcBorders>
            <w:shd w:val="clear" w:color="000000" w:fill="00AF41"/>
            <w:vAlign w:val="center"/>
          </w:tcPr>
          <w:p w14:paraId="2C816C2F" w14:textId="77777777" w:rsidR="009A064D" w:rsidRPr="00E56ABF" w:rsidRDefault="009A064D" w:rsidP="009A064D">
            <w:pPr>
              <w:rPr>
                <w:rFonts w:cs="Arial"/>
                <w:b/>
                <w:bCs/>
              </w:rPr>
            </w:pPr>
            <w:r w:rsidRPr="00E56ABF">
              <w:rPr>
                <w:rFonts w:cs="Arial"/>
                <w:b/>
                <w:bCs/>
              </w:rPr>
              <w:t>Monitoring Type</w:t>
            </w:r>
          </w:p>
        </w:tc>
        <w:tc>
          <w:tcPr>
            <w:tcW w:w="4782" w:type="dxa"/>
            <w:gridSpan w:val="5"/>
            <w:tcBorders>
              <w:top w:val="single" w:sz="4" w:space="0" w:color="auto"/>
              <w:left w:val="single" w:sz="4" w:space="0" w:color="auto"/>
              <w:bottom w:val="single" w:sz="4" w:space="0" w:color="auto"/>
              <w:right w:val="single" w:sz="4" w:space="0" w:color="auto"/>
            </w:tcBorders>
            <w:shd w:val="clear" w:color="auto" w:fill="00B050"/>
            <w:vAlign w:val="center"/>
          </w:tcPr>
          <w:p w14:paraId="2C816C30" w14:textId="77777777" w:rsidR="009A064D" w:rsidRPr="00E56ABF" w:rsidRDefault="009A064D" w:rsidP="009A064D">
            <w:pPr>
              <w:jc w:val="center"/>
              <w:rPr>
                <w:rFonts w:cs="Arial"/>
              </w:rPr>
            </w:pPr>
            <w:r w:rsidRPr="00E56ABF">
              <w:rPr>
                <w:rFonts w:cs="Arial"/>
                <w:b/>
                <w:bCs/>
              </w:rPr>
              <w:t>NO</w:t>
            </w:r>
            <w:r w:rsidRPr="00E56ABF">
              <w:rPr>
                <w:rFonts w:cs="Arial"/>
                <w:b/>
                <w:bCs/>
                <w:vertAlign w:val="subscript"/>
              </w:rPr>
              <w:t>2</w:t>
            </w:r>
            <w:r w:rsidRPr="00E56ABF">
              <w:rPr>
                <w:rFonts w:cs="Arial"/>
                <w:b/>
                <w:bCs/>
              </w:rPr>
              <w:t xml:space="preserve"> Annual Mean Concentration (µg/m</w:t>
            </w:r>
            <w:r w:rsidRPr="00E56ABF">
              <w:rPr>
                <w:rFonts w:cs="Arial"/>
                <w:b/>
                <w:bCs/>
                <w:vertAlign w:val="superscript"/>
              </w:rPr>
              <w:t>3</w:t>
            </w:r>
            <w:r w:rsidRPr="00E56ABF">
              <w:rPr>
                <w:rFonts w:cs="Arial"/>
                <w:b/>
                <w:bCs/>
              </w:rPr>
              <w:t xml:space="preserve">) </w:t>
            </w:r>
            <w:r w:rsidRPr="00E56ABF">
              <w:rPr>
                <w:rFonts w:cs="Arial"/>
                <w:b/>
                <w:bCs/>
                <w:vertAlign w:val="superscript"/>
              </w:rPr>
              <w:t>(3)</w:t>
            </w:r>
          </w:p>
        </w:tc>
      </w:tr>
      <w:tr w:rsidR="009A064D" w:rsidRPr="00E56ABF" w14:paraId="2C816C3A" w14:textId="77777777" w:rsidTr="009A064D">
        <w:trPr>
          <w:trHeight w:val="782"/>
        </w:trPr>
        <w:tc>
          <w:tcPr>
            <w:tcW w:w="1794" w:type="dxa"/>
            <w:vMerge/>
            <w:tcBorders>
              <w:left w:val="single" w:sz="8" w:space="0" w:color="auto"/>
              <w:bottom w:val="single" w:sz="8" w:space="0" w:color="000000"/>
              <w:right w:val="single" w:sz="8" w:space="0" w:color="auto"/>
            </w:tcBorders>
            <w:vAlign w:val="center"/>
          </w:tcPr>
          <w:p w14:paraId="2C816C32" w14:textId="77777777" w:rsidR="009A064D" w:rsidRPr="00E56ABF" w:rsidRDefault="009A064D" w:rsidP="009A064D">
            <w:pPr>
              <w:rPr>
                <w:rFonts w:cs="Arial"/>
                <w:b/>
                <w:bCs/>
              </w:rPr>
            </w:pPr>
          </w:p>
        </w:tc>
        <w:tc>
          <w:tcPr>
            <w:tcW w:w="1391" w:type="dxa"/>
            <w:vMerge/>
            <w:tcBorders>
              <w:left w:val="single" w:sz="8" w:space="0" w:color="auto"/>
              <w:bottom w:val="single" w:sz="8" w:space="0" w:color="000000"/>
              <w:right w:val="single" w:sz="8" w:space="0" w:color="auto"/>
            </w:tcBorders>
            <w:vAlign w:val="center"/>
          </w:tcPr>
          <w:p w14:paraId="2C816C33" w14:textId="77777777" w:rsidR="009A064D" w:rsidRPr="00E56ABF" w:rsidRDefault="009A064D" w:rsidP="009A064D">
            <w:pPr>
              <w:rPr>
                <w:rFonts w:cs="Arial"/>
                <w:b/>
                <w:bCs/>
              </w:rPr>
            </w:pPr>
          </w:p>
        </w:tc>
        <w:tc>
          <w:tcPr>
            <w:tcW w:w="1353" w:type="dxa"/>
            <w:vMerge/>
            <w:tcBorders>
              <w:left w:val="single" w:sz="8" w:space="0" w:color="auto"/>
              <w:bottom w:val="single" w:sz="8" w:space="0" w:color="000000"/>
              <w:right w:val="single" w:sz="8" w:space="0" w:color="auto"/>
            </w:tcBorders>
            <w:vAlign w:val="center"/>
          </w:tcPr>
          <w:p w14:paraId="2C816C34" w14:textId="77777777" w:rsidR="009A064D" w:rsidRPr="00E56ABF" w:rsidRDefault="009A064D" w:rsidP="009A064D">
            <w:pPr>
              <w:rPr>
                <w:rFonts w:cs="Arial"/>
                <w:b/>
                <w:bCs/>
              </w:rPr>
            </w:pPr>
          </w:p>
        </w:tc>
        <w:tc>
          <w:tcPr>
            <w:tcW w:w="849" w:type="dxa"/>
            <w:tcBorders>
              <w:top w:val="nil"/>
              <w:left w:val="nil"/>
              <w:bottom w:val="single" w:sz="8" w:space="0" w:color="auto"/>
              <w:right w:val="single" w:sz="8" w:space="0" w:color="auto"/>
            </w:tcBorders>
            <w:shd w:val="clear" w:color="000000" w:fill="00AF41"/>
            <w:vAlign w:val="center"/>
          </w:tcPr>
          <w:p w14:paraId="2C816C35" w14:textId="77777777" w:rsidR="009A064D" w:rsidRPr="00E56ABF" w:rsidRDefault="009A064D" w:rsidP="009A064D">
            <w:pPr>
              <w:jc w:val="center"/>
              <w:rPr>
                <w:rFonts w:cs="Arial"/>
                <w:b/>
                <w:bCs/>
              </w:rPr>
            </w:pPr>
            <w:r w:rsidRPr="00E56ABF">
              <w:rPr>
                <w:rFonts w:cs="Arial"/>
                <w:b/>
                <w:bCs/>
              </w:rPr>
              <w:t>2013</w:t>
            </w:r>
          </w:p>
        </w:tc>
        <w:tc>
          <w:tcPr>
            <w:tcW w:w="937" w:type="dxa"/>
            <w:tcBorders>
              <w:top w:val="nil"/>
              <w:left w:val="nil"/>
              <w:bottom w:val="single" w:sz="8" w:space="0" w:color="auto"/>
              <w:right w:val="single" w:sz="8" w:space="0" w:color="auto"/>
            </w:tcBorders>
            <w:shd w:val="clear" w:color="000000" w:fill="00AF41"/>
            <w:vAlign w:val="center"/>
          </w:tcPr>
          <w:p w14:paraId="2C816C36" w14:textId="77777777" w:rsidR="009A064D" w:rsidRPr="00E56ABF" w:rsidRDefault="009A064D" w:rsidP="009A064D">
            <w:pPr>
              <w:jc w:val="center"/>
              <w:rPr>
                <w:rFonts w:cs="Arial"/>
                <w:b/>
                <w:bCs/>
              </w:rPr>
            </w:pPr>
            <w:r w:rsidRPr="00E56ABF">
              <w:rPr>
                <w:rFonts w:cs="Arial"/>
                <w:b/>
                <w:bCs/>
              </w:rPr>
              <w:t>2014</w:t>
            </w:r>
          </w:p>
        </w:tc>
        <w:tc>
          <w:tcPr>
            <w:tcW w:w="849" w:type="dxa"/>
            <w:tcBorders>
              <w:top w:val="nil"/>
              <w:left w:val="nil"/>
              <w:bottom w:val="single" w:sz="8" w:space="0" w:color="auto"/>
              <w:right w:val="single" w:sz="8" w:space="0" w:color="auto"/>
            </w:tcBorders>
            <w:shd w:val="clear" w:color="000000" w:fill="00AF41"/>
            <w:vAlign w:val="center"/>
          </w:tcPr>
          <w:p w14:paraId="2C816C37" w14:textId="77777777" w:rsidR="009A064D" w:rsidRPr="00E56ABF" w:rsidRDefault="009A064D" w:rsidP="009A064D">
            <w:pPr>
              <w:jc w:val="center"/>
              <w:rPr>
                <w:rFonts w:cs="Arial"/>
                <w:b/>
                <w:bCs/>
              </w:rPr>
            </w:pPr>
            <w:r w:rsidRPr="00E56ABF">
              <w:rPr>
                <w:rFonts w:cs="Arial"/>
                <w:b/>
                <w:bCs/>
              </w:rPr>
              <w:t>2015</w:t>
            </w:r>
          </w:p>
        </w:tc>
        <w:tc>
          <w:tcPr>
            <w:tcW w:w="849" w:type="dxa"/>
            <w:tcBorders>
              <w:top w:val="nil"/>
              <w:left w:val="nil"/>
              <w:bottom w:val="single" w:sz="8" w:space="0" w:color="auto"/>
              <w:right w:val="single" w:sz="8" w:space="0" w:color="auto"/>
            </w:tcBorders>
            <w:shd w:val="clear" w:color="000000" w:fill="00AF41"/>
            <w:vAlign w:val="center"/>
          </w:tcPr>
          <w:p w14:paraId="2C816C38" w14:textId="77777777" w:rsidR="009A064D" w:rsidRPr="00E56ABF" w:rsidRDefault="009A064D" w:rsidP="009A064D">
            <w:pPr>
              <w:jc w:val="center"/>
              <w:rPr>
                <w:rFonts w:cs="Arial"/>
                <w:b/>
                <w:bCs/>
              </w:rPr>
            </w:pPr>
            <w:r w:rsidRPr="00E56ABF">
              <w:rPr>
                <w:rFonts w:cs="Arial"/>
                <w:b/>
                <w:bCs/>
              </w:rPr>
              <w:t>2016</w:t>
            </w:r>
          </w:p>
        </w:tc>
        <w:tc>
          <w:tcPr>
            <w:tcW w:w="1298" w:type="dxa"/>
            <w:tcBorders>
              <w:top w:val="nil"/>
              <w:left w:val="nil"/>
              <w:bottom w:val="single" w:sz="8" w:space="0" w:color="auto"/>
              <w:right w:val="single" w:sz="8" w:space="0" w:color="auto"/>
            </w:tcBorders>
            <w:shd w:val="clear" w:color="000000" w:fill="00AF41"/>
            <w:vAlign w:val="center"/>
          </w:tcPr>
          <w:p w14:paraId="2C816C39" w14:textId="77777777" w:rsidR="009A064D" w:rsidRPr="00E56ABF" w:rsidRDefault="009A064D" w:rsidP="009A064D">
            <w:pPr>
              <w:jc w:val="center"/>
              <w:rPr>
                <w:rFonts w:cs="Arial"/>
                <w:b/>
                <w:bCs/>
              </w:rPr>
            </w:pPr>
            <w:r w:rsidRPr="00E56ABF">
              <w:rPr>
                <w:rFonts w:cs="Arial"/>
                <w:b/>
                <w:bCs/>
              </w:rPr>
              <w:t>2017</w:t>
            </w:r>
          </w:p>
        </w:tc>
      </w:tr>
      <w:tr w:rsidR="009A064D" w:rsidRPr="00E56ABF" w14:paraId="2C816C43"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C3B" w14:textId="77777777" w:rsidR="009A064D" w:rsidRPr="00E56ABF" w:rsidRDefault="009A064D" w:rsidP="009A064D">
            <w:pPr>
              <w:rPr>
                <w:rFonts w:cs="Arial"/>
              </w:rPr>
            </w:pPr>
            <w:r w:rsidRPr="00E56ABF">
              <w:rPr>
                <w:rFonts w:cs="Arial"/>
              </w:rPr>
              <w:t>Victoria Road, Walton-le-Dale</w:t>
            </w:r>
          </w:p>
        </w:tc>
        <w:tc>
          <w:tcPr>
            <w:tcW w:w="1391" w:type="dxa"/>
            <w:tcBorders>
              <w:top w:val="nil"/>
              <w:left w:val="nil"/>
              <w:bottom w:val="single" w:sz="8" w:space="0" w:color="auto"/>
              <w:right w:val="single" w:sz="8" w:space="0" w:color="auto"/>
            </w:tcBorders>
            <w:shd w:val="clear" w:color="auto" w:fill="auto"/>
            <w:vAlign w:val="center"/>
            <w:hideMark/>
          </w:tcPr>
          <w:p w14:paraId="2C816C3C" w14:textId="77777777" w:rsidR="009A064D" w:rsidRPr="00E56ABF" w:rsidRDefault="009A064D" w:rsidP="009A064D">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C3D" w14:textId="77777777" w:rsidR="009A064D" w:rsidRPr="00E56ABF" w:rsidRDefault="009A064D" w:rsidP="009A064D">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C3E" w14:textId="77777777" w:rsidR="009A064D" w:rsidRPr="00E56ABF" w:rsidRDefault="009A064D" w:rsidP="009A064D">
            <w:pPr>
              <w:jc w:val="center"/>
              <w:rPr>
                <w:rFonts w:cs="Arial"/>
              </w:rPr>
            </w:pPr>
            <w:r w:rsidRPr="00E56ABF">
              <w:rPr>
                <w:rFonts w:cs="Arial"/>
              </w:rPr>
              <w:t>37.00</w:t>
            </w:r>
          </w:p>
        </w:tc>
        <w:tc>
          <w:tcPr>
            <w:tcW w:w="937" w:type="dxa"/>
            <w:tcBorders>
              <w:top w:val="nil"/>
              <w:left w:val="nil"/>
              <w:bottom w:val="single" w:sz="8" w:space="0" w:color="auto"/>
              <w:right w:val="single" w:sz="8" w:space="0" w:color="auto"/>
            </w:tcBorders>
            <w:shd w:val="clear" w:color="auto" w:fill="auto"/>
            <w:vAlign w:val="center"/>
            <w:hideMark/>
          </w:tcPr>
          <w:p w14:paraId="2C816C3F" w14:textId="77777777" w:rsidR="009A064D" w:rsidRPr="00E56ABF" w:rsidRDefault="009A064D" w:rsidP="009A064D">
            <w:pPr>
              <w:jc w:val="center"/>
              <w:rPr>
                <w:rFonts w:cs="Arial"/>
              </w:rPr>
            </w:pPr>
            <w:r w:rsidRPr="00E56ABF">
              <w:rPr>
                <w:rFonts w:cs="Arial"/>
              </w:rPr>
              <w:t>36.00</w:t>
            </w:r>
          </w:p>
        </w:tc>
        <w:tc>
          <w:tcPr>
            <w:tcW w:w="849" w:type="dxa"/>
            <w:tcBorders>
              <w:top w:val="nil"/>
              <w:left w:val="nil"/>
              <w:bottom w:val="single" w:sz="8" w:space="0" w:color="auto"/>
              <w:right w:val="single" w:sz="8" w:space="0" w:color="auto"/>
            </w:tcBorders>
            <w:shd w:val="clear" w:color="auto" w:fill="auto"/>
            <w:vAlign w:val="center"/>
            <w:hideMark/>
          </w:tcPr>
          <w:p w14:paraId="2C816C40" w14:textId="77777777" w:rsidR="009A064D" w:rsidRPr="00E56ABF" w:rsidRDefault="009A064D" w:rsidP="009A064D">
            <w:pPr>
              <w:jc w:val="center"/>
              <w:rPr>
                <w:rFonts w:cs="Arial"/>
              </w:rPr>
            </w:pPr>
            <w:r w:rsidRPr="00E56ABF">
              <w:rPr>
                <w:rFonts w:cs="Arial"/>
              </w:rPr>
              <w:t>31.43</w:t>
            </w:r>
          </w:p>
        </w:tc>
        <w:tc>
          <w:tcPr>
            <w:tcW w:w="849" w:type="dxa"/>
            <w:tcBorders>
              <w:top w:val="nil"/>
              <w:left w:val="nil"/>
              <w:bottom w:val="single" w:sz="8" w:space="0" w:color="auto"/>
              <w:right w:val="single" w:sz="8" w:space="0" w:color="auto"/>
            </w:tcBorders>
            <w:shd w:val="clear" w:color="auto" w:fill="auto"/>
            <w:vAlign w:val="center"/>
            <w:hideMark/>
          </w:tcPr>
          <w:p w14:paraId="2C816C41" w14:textId="77777777" w:rsidR="009A064D" w:rsidRPr="00E56ABF" w:rsidRDefault="009A064D" w:rsidP="009A064D">
            <w:pPr>
              <w:jc w:val="center"/>
              <w:rPr>
                <w:rFonts w:cs="Arial"/>
              </w:rPr>
            </w:pPr>
            <w:r w:rsidRPr="00E56ABF">
              <w:rPr>
                <w:rFonts w:cs="Arial"/>
              </w:rPr>
              <w:t>36.15</w:t>
            </w:r>
          </w:p>
        </w:tc>
        <w:tc>
          <w:tcPr>
            <w:tcW w:w="1298" w:type="dxa"/>
            <w:tcBorders>
              <w:top w:val="nil"/>
              <w:left w:val="nil"/>
              <w:bottom w:val="single" w:sz="8" w:space="0" w:color="auto"/>
              <w:right w:val="single" w:sz="8" w:space="0" w:color="auto"/>
            </w:tcBorders>
            <w:shd w:val="clear" w:color="auto" w:fill="auto"/>
            <w:vAlign w:val="center"/>
            <w:hideMark/>
          </w:tcPr>
          <w:p w14:paraId="2C816C42" w14:textId="77777777" w:rsidR="009A064D" w:rsidRPr="00E56ABF" w:rsidRDefault="009A064D" w:rsidP="009A064D">
            <w:pPr>
              <w:jc w:val="center"/>
              <w:rPr>
                <w:rFonts w:cs="Arial"/>
              </w:rPr>
            </w:pPr>
            <w:r w:rsidRPr="00E56ABF">
              <w:rPr>
                <w:rFonts w:cs="Arial"/>
              </w:rPr>
              <w:t>32.09</w:t>
            </w:r>
          </w:p>
        </w:tc>
      </w:tr>
      <w:tr w:rsidR="009A064D" w:rsidRPr="00E56ABF" w14:paraId="2C816C4C"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C44" w14:textId="77777777" w:rsidR="009A064D" w:rsidRPr="00E56ABF" w:rsidRDefault="009A064D" w:rsidP="009A064D">
            <w:pPr>
              <w:rPr>
                <w:rFonts w:cs="Arial"/>
              </w:rPr>
            </w:pPr>
            <w:r w:rsidRPr="00E56ABF">
              <w:rPr>
                <w:rFonts w:cs="Arial"/>
              </w:rPr>
              <w:t>Victoria Road, Walton-le-Dale</w:t>
            </w:r>
          </w:p>
        </w:tc>
        <w:tc>
          <w:tcPr>
            <w:tcW w:w="1391" w:type="dxa"/>
            <w:tcBorders>
              <w:top w:val="nil"/>
              <w:left w:val="nil"/>
              <w:bottom w:val="single" w:sz="8" w:space="0" w:color="auto"/>
              <w:right w:val="single" w:sz="8" w:space="0" w:color="auto"/>
            </w:tcBorders>
            <w:shd w:val="clear" w:color="auto" w:fill="auto"/>
            <w:vAlign w:val="center"/>
            <w:hideMark/>
          </w:tcPr>
          <w:p w14:paraId="2C816C45" w14:textId="77777777" w:rsidR="009A064D" w:rsidRPr="00E56ABF" w:rsidRDefault="009A064D" w:rsidP="009A064D">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C46" w14:textId="77777777" w:rsidR="009A064D" w:rsidRPr="00E56ABF" w:rsidRDefault="009A064D" w:rsidP="009A064D">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C47" w14:textId="77777777" w:rsidR="009A064D" w:rsidRPr="00E56ABF" w:rsidRDefault="009A064D" w:rsidP="009A064D">
            <w:pPr>
              <w:jc w:val="center"/>
              <w:rPr>
                <w:rFonts w:cs="Arial"/>
              </w:rPr>
            </w:pPr>
            <w:r w:rsidRPr="00E56ABF">
              <w:rPr>
                <w:rFonts w:cs="Arial"/>
              </w:rPr>
              <w:t>37.00</w:t>
            </w:r>
          </w:p>
        </w:tc>
        <w:tc>
          <w:tcPr>
            <w:tcW w:w="937" w:type="dxa"/>
            <w:tcBorders>
              <w:top w:val="nil"/>
              <w:left w:val="nil"/>
              <w:bottom w:val="single" w:sz="8" w:space="0" w:color="auto"/>
              <w:right w:val="single" w:sz="8" w:space="0" w:color="auto"/>
            </w:tcBorders>
            <w:shd w:val="clear" w:color="auto" w:fill="auto"/>
            <w:vAlign w:val="center"/>
            <w:hideMark/>
          </w:tcPr>
          <w:p w14:paraId="2C816C48" w14:textId="77777777" w:rsidR="009A064D" w:rsidRPr="00E56ABF" w:rsidRDefault="009A064D" w:rsidP="009A064D">
            <w:pPr>
              <w:jc w:val="center"/>
              <w:rPr>
                <w:rFonts w:cs="Arial"/>
              </w:rPr>
            </w:pPr>
            <w:r w:rsidRPr="00E56ABF">
              <w:rPr>
                <w:rFonts w:cs="Arial"/>
              </w:rPr>
              <w:t>36.00</w:t>
            </w:r>
          </w:p>
        </w:tc>
        <w:tc>
          <w:tcPr>
            <w:tcW w:w="849" w:type="dxa"/>
            <w:tcBorders>
              <w:top w:val="nil"/>
              <w:left w:val="nil"/>
              <w:bottom w:val="single" w:sz="8" w:space="0" w:color="auto"/>
              <w:right w:val="single" w:sz="8" w:space="0" w:color="auto"/>
            </w:tcBorders>
            <w:shd w:val="clear" w:color="auto" w:fill="auto"/>
            <w:vAlign w:val="center"/>
            <w:hideMark/>
          </w:tcPr>
          <w:p w14:paraId="2C816C49" w14:textId="77777777" w:rsidR="009A064D" w:rsidRPr="00E56ABF" w:rsidRDefault="009A064D" w:rsidP="009A064D">
            <w:pPr>
              <w:jc w:val="center"/>
              <w:rPr>
                <w:rFonts w:cs="Arial"/>
              </w:rPr>
            </w:pPr>
            <w:r w:rsidRPr="00E56ABF">
              <w:rPr>
                <w:rFonts w:cs="Arial"/>
              </w:rPr>
              <w:t>29.00</w:t>
            </w:r>
          </w:p>
        </w:tc>
        <w:tc>
          <w:tcPr>
            <w:tcW w:w="849" w:type="dxa"/>
            <w:tcBorders>
              <w:top w:val="nil"/>
              <w:left w:val="nil"/>
              <w:bottom w:val="single" w:sz="8" w:space="0" w:color="auto"/>
              <w:right w:val="single" w:sz="8" w:space="0" w:color="auto"/>
            </w:tcBorders>
            <w:shd w:val="clear" w:color="auto" w:fill="auto"/>
            <w:vAlign w:val="center"/>
            <w:hideMark/>
          </w:tcPr>
          <w:p w14:paraId="2C816C4A" w14:textId="77777777" w:rsidR="009A064D" w:rsidRPr="00E56ABF" w:rsidRDefault="009A064D" w:rsidP="009A064D">
            <w:pPr>
              <w:jc w:val="center"/>
              <w:rPr>
                <w:rFonts w:cs="Arial"/>
              </w:rPr>
            </w:pPr>
            <w:r w:rsidRPr="00E56ABF">
              <w:rPr>
                <w:rFonts w:cs="Arial"/>
              </w:rPr>
              <w:t>31.60</w:t>
            </w:r>
          </w:p>
        </w:tc>
        <w:tc>
          <w:tcPr>
            <w:tcW w:w="1298" w:type="dxa"/>
            <w:tcBorders>
              <w:top w:val="nil"/>
              <w:left w:val="nil"/>
              <w:bottom w:val="single" w:sz="8" w:space="0" w:color="auto"/>
              <w:right w:val="single" w:sz="8" w:space="0" w:color="auto"/>
            </w:tcBorders>
            <w:shd w:val="clear" w:color="auto" w:fill="auto"/>
            <w:vAlign w:val="center"/>
            <w:hideMark/>
          </w:tcPr>
          <w:p w14:paraId="2C816C4B" w14:textId="77777777" w:rsidR="009A064D" w:rsidRPr="00E56ABF" w:rsidRDefault="009A064D" w:rsidP="009A064D">
            <w:pPr>
              <w:jc w:val="center"/>
              <w:rPr>
                <w:rFonts w:cs="Arial"/>
              </w:rPr>
            </w:pPr>
            <w:r w:rsidRPr="00E56ABF">
              <w:rPr>
                <w:rFonts w:cs="Arial"/>
              </w:rPr>
              <w:t>27.70</w:t>
            </w:r>
          </w:p>
        </w:tc>
      </w:tr>
      <w:tr w:rsidR="009A064D" w:rsidRPr="00E56ABF" w14:paraId="2C816C55"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C4D" w14:textId="77777777" w:rsidR="009A064D" w:rsidRPr="00E56ABF" w:rsidRDefault="009A064D" w:rsidP="009A064D">
            <w:pPr>
              <w:rPr>
                <w:rFonts w:cs="Arial"/>
              </w:rPr>
            </w:pPr>
            <w:r w:rsidRPr="00E56ABF">
              <w:rPr>
                <w:rFonts w:cs="Arial"/>
              </w:rPr>
              <w:t xml:space="preserve"> Victoria Road, Walton-le-Dale</w:t>
            </w:r>
          </w:p>
        </w:tc>
        <w:tc>
          <w:tcPr>
            <w:tcW w:w="1391" w:type="dxa"/>
            <w:tcBorders>
              <w:top w:val="nil"/>
              <w:left w:val="nil"/>
              <w:bottom w:val="single" w:sz="8" w:space="0" w:color="auto"/>
              <w:right w:val="single" w:sz="8" w:space="0" w:color="auto"/>
            </w:tcBorders>
            <w:shd w:val="clear" w:color="auto" w:fill="auto"/>
            <w:vAlign w:val="center"/>
            <w:hideMark/>
          </w:tcPr>
          <w:p w14:paraId="2C816C4E" w14:textId="77777777" w:rsidR="009A064D" w:rsidRPr="00E56ABF" w:rsidRDefault="009A064D" w:rsidP="009A064D">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C4F" w14:textId="77777777" w:rsidR="009A064D" w:rsidRPr="00E56ABF" w:rsidRDefault="009A064D" w:rsidP="009A064D">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C50" w14:textId="77777777" w:rsidR="009A064D" w:rsidRPr="00E56ABF" w:rsidRDefault="009A064D" w:rsidP="009A064D">
            <w:pPr>
              <w:jc w:val="center"/>
              <w:rPr>
                <w:rFonts w:cs="Arial"/>
              </w:rPr>
            </w:pPr>
            <w:r w:rsidRPr="00E56ABF">
              <w:rPr>
                <w:rFonts w:cs="Arial"/>
              </w:rPr>
              <w:t>35.00</w:t>
            </w:r>
          </w:p>
        </w:tc>
        <w:tc>
          <w:tcPr>
            <w:tcW w:w="937" w:type="dxa"/>
            <w:tcBorders>
              <w:top w:val="nil"/>
              <w:left w:val="nil"/>
              <w:bottom w:val="single" w:sz="8" w:space="0" w:color="auto"/>
              <w:right w:val="single" w:sz="8" w:space="0" w:color="auto"/>
            </w:tcBorders>
            <w:shd w:val="clear" w:color="auto" w:fill="auto"/>
            <w:vAlign w:val="center"/>
            <w:hideMark/>
          </w:tcPr>
          <w:p w14:paraId="2C816C51" w14:textId="77777777" w:rsidR="009A064D" w:rsidRPr="00E56ABF" w:rsidRDefault="009A064D" w:rsidP="009A064D">
            <w:pPr>
              <w:jc w:val="center"/>
              <w:rPr>
                <w:rFonts w:cs="Arial"/>
              </w:rPr>
            </w:pPr>
            <w:r w:rsidRPr="00E56ABF">
              <w:rPr>
                <w:rFonts w:cs="Arial"/>
              </w:rPr>
              <w:t>36.00</w:t>
            </w:r>
          </w:p>
        </w:tc>
        <w:tc>
          <w:tcPr>
            <w:tcW w:w="849" w:type="dxa"/>
            <w:tcBorders>
              <w:top w:val="nil"/>
              <w:left w:val="nil"/>
              <w:bottom w:val="single" w:sz="8" w:space="0" w:color="auto"/>
              <w:right w:val="single" w:sz="8" w:space="0" w:color="auto"/>
            </w:tcBorders>
            <w:shd w:val="clear" w:color="auto" w:fill="auto"/>
            <w:vAlign w:val="center"/>
            <w:hideMark/>
          </w:tcPr>
          <w:p w14:paraId="2C816C52" w14:textId="77777777" w:rsidR="009A064D" w:rsidRPr="00E56ABF" w:rsidRDefault="009A064D" w:rsidP="009A064D">
            <w:pPr>
              <w:jc w:val="center"/>
              <w:rPr>
                <w:rFonts w:cs="Arial"/>
              </w:rPr>
            </w:pPr>
            <w:r w:rsidRPr="00E56ABF">
              <w:rPr>
                <w:rFonts w:cs="Arial"/>
              </w:rPr>
              <w:t>27.70</w:t>
            </w:r>
          </w:p>
        </w:tc>
        <w:tc>
          <w:tcPr>
            <w:tcW w:w="849" w:type="dxa"/>
            <w:tcBorders>
              <w:top w:val="nil"/>
              <w:left w:val="nil"/>
              <w:bottom w:val="single" w:sz="8" w:space="0" w:color="auto"/>
              <w:right w:val="single" w:sz="8" w:space="0" w:color="auto"/>
            </w:tcBorders>
            <w:shd w:val="clear" w:color="auto" w:fill="auto"/>
            <w:vAlign w:val="center"/>
            <w:hideMark/>
          </w:tcPr>
          <w:p w14:paraId="2C816C53" w14:textId="77777777" w:rsidR="009A064D" w:rsidRPr="00E56ABF" w:rsidRDefault="009A064D" w:rsidP="009A064D">
            <w:pPr>
              <w:jc w:val="center"/>
              <w:rPr>
                <w:rFonts w:cs="Arial"/>
              </w:rPr>
            </w:pPr>
            <w:r w:rsidRPr="00E56ABF">
              <w:rPr>
                <w:rFonts w:cs="Arial"/>
              </w:rPr>
              <w:t>35.83</w:t>
            </w:r>
          </w:p>
        </w:tc>
        <w:tc>
          <w:tcPr>
            <w:tcW w:w="1298" w:type="dxa"/>
            <w:tcBorders>
              <w:top w:val="nil"/>
              <w:left w:val="nil"/>
              <w:bottom w:val="single" w:sz="8" w:space="0" w:color="auto"/>
              <w:right w:val="single" w:sz="8" w:space="0" w:color="auto"/>
            </w:tcBorders>
            <w:shd w:val="clear" w:color="auto" w:fill="auto"/>
            <w:vAlign w:val="center"/>
            <w:hideMark/>
          </w:tcPr>
          <w:p w14:paraId="2C816C54" w14:textId="77777777" w:rsidR="009A064D" w:rsidRPr="00E56ABF" w:rsidRDefault="009A064D" w:rsidP="009A064D">
            <w:pPr>
              <w:jc w:val="center"/>
              <w:rPr>
                <w:rFonts w:cs="Arial"/>
              </w:rPr>
            </w:pPr>
            <w:r w:rsidRPr="00E56ABF">
              <w:rPr>
                <w:rFonts w:cs="Arial"/>
              </w:rPr>
              <w:t>30.82</w:t>
            </w:r>
          </w:p>
        </w:tc>
      </w:tr>
      <w:tr w:rsidR="009A064D" w:rsidRPr="00E56ABF" w14:paraId="2C816C5E"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C56" w14:textId="77777777" w:rsidR="009A064D" w:rsidRPr="00E56ABF" w:rsidRDefault="009A064D" w:rsidP="009A064D">
            <w:pPr>
              <w:rPr>
                <w:rFonts w:cs="Arial"/>
              </w:rPr>
            </w:pPr>
            <w:r w:rsidRPr="00E56ABF">
              <w:rPr>
                <w:rFonts w:cs="Arial"/>
              </w:rPr>
              <w:t>Library, Station Road, Bamber Bridge</w:t>
            </w:r>
          </w:p>
        </w:tc>
        <w:tc>
          <w:tcPr>
            <w:tcW w:w="1391" w:type="dxa"/>
            <w:tcBorders>
              <w:top w:val="nil"/>
              <w:left w:val="nil"/>
              <w:bottom w:val="single" w:sz="8" w:space="0" w:color="auto"/>
              <w:right w:val="single" w:sz="8" w:space="0" w:color="auto"/>
            </w:tcBorders>
            <w:shd w:val="clear" w:color="auto" w:fill="auto"/>
            <w:vAlign w:val="center"/>
            <w:hideMark/>
          </w:tcPr>
          <w:p w14:paraId="2C816C57" w14:textId="77777777" w:rsidR="009A064D" w:rsidRPr="00E56ABF" w:rsidRDefault="009A064D" w:rsidP="009A064D">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C58" w14:textId="77777777" w:rsidR="009A064D" w:rsidRPr="00E56ABF" w:rsidRDefault="009A064D" w:rsidP="009A064D">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C59" w14:textId="77777777" w:rsidR="009A064D" w:rsidRPr="00E56ABF" w:rsidRDefault="009A064D" w:rsidP="009A064D">
            <w:pPr>
              <w:jc w:val="center"/>
              <w:rPr>
                <w:rFonts w:cs="Arial"/>
              </w:rPr>
            </w:pPr>
            <w:r w:rsidRPr="00E56ABF">
              <w:rPr>
                <w:rFonts w:cs="Arial"/>
              </w:rPr>
              <w:t>31.00</w:t>
            </w:r>
          </w:p>
        </w:tc>
        <w:tc>
          <w:tcPr>
            <w:tcW w:w="937" w:type="dxa"/>
            <w:tcBorders>
              <w:top w:val="nil"/>
              <w:left w:val="nil"/>
              <w:bottom w:val="single" w:sz="8" w:space="0" w:color="auto"/>
              <w:right w:val="single" w:sz="8" w:space="0" w:color="auto"/>
            </w:tcBorders>
            <w:shd w:val="clear" w:color="auto" w:fill="auto"/>
            <w:vAlign w:val="center"/>
            <w:hideMark/>
          </w:tcPr>
          <w:p w14:paraId="2C816C5A" w14:textId="77777777" w:rsidR="009A064D" w:rsidRPr="00E56ABF" w:rsidRDefault="009A064D" w:rsidP="009A064D">
            <w:pPr>
              <w:jc w:val="center"/>
              <w:rPr>
                <w:rFonts w:cs="Arial"/>
              </w:rPr>
            </w:pPr>
            <w:r w:rsidRPr="00E56ABF">
              <w:rPr>
                <w:rFonts w:cs="Arial"/>
              </w:rPr>
              <w:t>30.00</w:t>
            </w:r>
          </w:p>
        </w:tc>
        <w:tc>
          <w:tcPr>
            <w:tcW w:w="849" w:type="dxa"/>
            <w:tcBorders>
              <w:top w:val="nil"/>
              <w:left w:val="nil"/>
              <w:bottom w:val="single" w:sz="8" w:space="0" w:color="auto"/>
              <w:right w:val="single" w:sz="8" w:space="0" w:color="auto"/>
            </w:tcBorders>
            <w:shd w:val="clear" w:color="auto" w:fill="auto"/>
            <w:vAlign w:val="center"/>
            <w:hideMark/>
          </w:tcPr>
          <w:p w14:paraId="2C816C5B" w14:textId="77777777" w:rsidR="009A064D" w:rsidRPr="00E56ABF" w:rsidRDefault="009A064D" w:rsidP="009A064D">
            <w:pPr>
              <w:jc w:val="center"/>
              <w:rPr>
                <w:rFonts w:cs="Arial"/>
              </w:rPr>
            </w:pPr>
            <w:r w:rsidRPr="00E56ABF">
              <w:rPr>
                <w:rFonts w:cs="Arial"/>
              </w:rPr>
              <w:t>26.00</w:t>
            </w:r>
          </w:p>
        </w:tc>
        <w:tc>
          <w:tcPr>
            <w:tcW w:w="849" w:type="dxa"/>
            <w:tcBorders>
              <w:top w:val="nil"/>
              <w:left w:val="nil"/>
              <w:bottom w:val="single" w:sz="8" w:space="0" w:color="auto"/>
              <w:right w:val="single" w:sz="8" w:space="0" w:color="auto"/>
            </w:tcBorders>
            <w:shd w:val="clear" w:color="auto" w:fill="auto"/>
            <w:vAlign w:val="center"/>
            <w:hideMark/>
          </w:tcPr>
          <w:p w14:paraId="2C816C5C" w14:textId="77777777" w:rsidR="009A064D" w:rsidRPr="00E56ABF" w:rsidRDefault="009A064D" w:rsidP="009A064D">
            <w:pPr>
              <w:jc w:val="center"/>
              <w:rPr>
                <w:rFonts w:cs="Arial"/>
              </w:rPr>
            </w:pPr>
            <w:r w:rsidRPr="00E56ABF">
              <w:rPr>
                <w:rFonts w:cs="Arial"/>
              </w:rPr>
              <w:t>32.46</w:t>
            </w:r>
          </w:p>
        </w:tc>
        <w:tc>
          <w:tcPr>
            <w:tcW w:w="1298" w:type="dxa"/>
            <w:tcBorders>
              <w:top w:val="nil"/>
              <w:left w:val="nil"/>
              <w:bottom w:val="single" w:sz="8" w:space="0" w:color="auto"/>
              <w:right w:val="single" w:sz="8" w:space="0" w:color="auto"/>
            </w:tcBorders>
            <w:shd w:val="clear" w:color="auto" w:fill="auto"/>
            <w:vAlign w:val="center"/>
            <w:hideMark/>
          </w:tcPr>
          <w:p w14:paraId="2C816C5D" w14:textId="77777777" w:rsidR="009A064D" w:rsidRPr="00E56ABF" w:rsidRDefault="009A064D" w:rsidP="009A064D">
            <w:pPr>
              <w:jc w:val="center"/>
              <w:rPr>
                <w:rFonts w:cs="Arial"/>
              </w:rPr>
            </w:pPr>
            <w:r w:rsidRPr="00E56ABF">
              <w:rPr>
                <w:rFonts w:cs="Arial"/>
              </w:rPr>
              <w:t>29.19</w:t>
            </w:r>
          </w:p>
        </w:tc>
      </w:tr>
      <w:tr w:rsidR="009A064D" w:rsidRPr="00E56ABF" w14:paraId="2C816C67"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C5F" w14:textId="77777777" w:rsidR="009A064D" w:rsidRPr="00E56ABF" w:rsidRDefault="009A064D" w:rsidP="009A064D">
            <w:pPr>
              <w:rPr>
                <w:rFonts w:cs="Arial"/>
              </w:rPr>
            </w:pPr>
            <w:r w:rsidRPr="00E56ABF">
              <w:rPr>
                <w:rFonts w:cs="Arial"/>
              </w:rPr>
              <w:t>Station Road, Bamber Bridge</w:t>
            </w:r>
          </w:p>
        </w:tc>
        <w:tc>
          <w:tcPr>
            <w:tcW w:w="1391" w:type="dxa"/>
            <w:tcBorders>
              <w:top w:val="nil"/>
              <w:left w:val="nil"/>
              <w:bottom w:val="single" w:sz="8" w:space="0" w:color="auto"/>
              <w:right w:val="single" w:sz="8" w:space="0" w:color="auto"/>
            </w:tcBorders>
            <w:shd w:val="clear" w:color="auto" w:fill="auto"/>
            <w:vAlign w:val="center"/>
            <w:hideMark/>
          </w:tcPr>
          <w:p w14:paraId="2C816C60" w14:textId="77777777" w:rsidR="009A064D" w:rsidRPr="00E56ABF" w:rsidRDefault="009A064D" w:rsidP="009A064D">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C61" w14:textId="77777777" w:rsidR="009A064D" w:rsidRPr="00E56ABF" w:rsidRDefault="009A064D" w:rsidP="009A064D">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C62" w14:textId="77777777" w:rsidR="009A064D" w:rsidRPr="00E56ABF" w:rsidRDefault="009A064D" w:rsidP="009A064D">
            <w:pPr>
              <w:jc w:val="center"/>
              <w:rPr>
                <w:rFonts w:cs="Arial"/>
              </w:rPr>
            </w:pPr>
            <w:r w:rsidRPr="00E56ABF">
              <w:rPr>
                <w:rFonts w:cs="Arial"/>
              </w:rPr>
              <w:t>32.00</w:t>
            </w:r>
          </w:p>
        </w:tc>
        <w:tc>
          <w:tcPr>
            <w:tcW w:w="937" w:type="dxa"/>
            <w:tcBorders>
              <w:top w:val="nil"/>
              <w:left w:val="nil"/>
              <w:bottom w:val="single" w:sz="8" w:space="0" w:color="auto"/>
              <w:right w:val="single" w:sz="8" w:space="0" w:color="auto"/>
            </w:tcBorders>
            <w:shd w:val="clear" w:color="auto" w:fill="auto"/>
            <w:vAlign w:val="center"/>
            <w:hideMark/>
          </w:tcPr>
          <w:p w14:paraId="2C816C63" w14:textId="77777777" w:rsidR="009A064D" w:rsidRPr="00E56ABF" w:rsidRDefault="009A064D" w:rsidP="009A064D">
            <w:pPr>
              <w:jc w:val="center"/>
              <w:rPr>
                <w:rFonts w:cs="Arial"/>
              </w:rPr>
            </w:pPr>
            <w:r w:rsidRPr="00E56ABF">
              <w:rPr>
                <w:rFonts w:cs="Arial"/>
              </w:rPr>
              <w:t>29.00</w:t>
            </w:r>
          </w:p>
        </w:tc>
        <w:tc>
          <w:tcPr>
            <w:tcW w:w="849" w:type="dxa"/>
            <w:tcBorders>
              <w:top w:val="nil"/>
              <w:left w:val="nil"/>
              <w:bottom w:val="single" w:sz="8" w:space="0" w:color="auto"/>
              <w:right w:val="single" w:sz="8" w:space="0" w:color="auto"/>
            </w:tcBorders>
            <w:shd w:val="clear" w:color="auto" w:fill="auto"/>
            <w:vAlign w:val="center"/>
            <w:hideMark/>
          </w:tcPr>
          <w:p w14:paraId="2C816C64" w14:textId="77777777" w:rsidR="009A064D" w:rsidRPr="00E56ABF" w:rsidRDefault="009A064D" w:rsidP="009A064D">
            <w:pPr>
              <w:jc w:val="center"/>
              <w:rPr>
                <w:rFonts w:cs="Arial"/>
              </w:rPr>
            </w:pPr>
            <w:r w:rsidRPr="00E56ABF">
              <w:rPr>
                <w:rFonts w:cs="Arial"/>
              </w:rPr>
              <w:t>23.32</w:t>
            </w:r>
          </w:p>
        </w:tc>
        <w:tc>
          <w:tcPr>
            <w:tcW w:w="849" w:type="dxa"/>
            <w:tcBorders>
              <w:top w:val="nil"/>
              <w:left w:val="nil"/>
              <w:bottom w:val="single" w:sz="8" w:space="0" w:color="auto"/>
              <w:right w:val="single" w:sz="8" w:space="0" w:color="auto"/>
            </w:tcBorders>
            <w:shd w:val="clear" w:color="auto" w:fill="auto"/>
            <w:vAlign w:val="center"/>
            <w:hideMark/>
          </w:tcPr>
          <w:p w14:paraId="2C816C65" w14:textId="77777777" w:rsidR="009A064D" w:rsidRPr="00E56ABF" w:rsidRDefault="009A064D" w:rsidP="009A064D">
            <w:pPr>
              <w:jc w:val="center"/>
              <w:rPr>
                <w:rFonts w:cs="Arial"/>
              </w:rPr>
            </w:pPr>
            <w:r w:rsidRPr="00E56ABF">
              <w:rPr>
                <w:rFonts w:cs="Arial"/>
              </w:rPr>
              <w:t>30.35</w:t>
            </w:r>
          </w:p>
        </w:tc>
        <w:tc>
          <w:tcPr>
            <w:tcW w:w="1298" w:type="dxa"/>
            <w:tcBorders>
              <w:top w:val="nil"/>
              <w:left w:val="nil"/>
              <w:bottom w:val="single" w:sz="8" w:space="0" w:color="auto"/>
              <w:right w:val="single" w:sz="8" w:space="0" w:color="auto"/>
            </w:tcBorders>
            <w:shd w:val="clear" w:color="auto" w:fill="auto"/>
            <w:vAlign w:val="center"/>
            <w:hideMark/>
          </w:tcPr>
          <w:p w14:paraId="2C816C66" w14:textId="77777777" w:rsidR="009A064D" w:rsidRPr="00E56ABF" w:rsidRDefault="009A064D" w:rsidP="009A064D">
            <w:pPr>
              <w:jc w:val="center"/>
              <w:rPr>
                <w:rFonts w:cs="Arial"/>
              </w:rPr>
            </w:pPr>
            <w:r w:rsidRPr="00E56ABF">
              <w:rPr>
                <w:rFonts w:cs="Arial"/>
              </w:rPr>
              <w:t>28.72</w:t>
            </w:r>
          </w:p>
        </w:tc>
      </w:tr>
      <w:tr w:rsidR="009A064D" w:rsidRPr="00E56ABF" w14:paraId="2C816C70"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C68" w14:textId="77777777" w:rsidR="009A064D" w:rsidRPr="00E56ABF" w:rsidRDefault="009A064D" w:rsidP="009A064D">
            <w:pPr>
              <w:rPr>
                <w:rFonts w:cs="Arial"/>
              </w:rPr>
            </w:pPr>
            <w:r w:rsidRPr="00E56ABF">
              <w:rPr>
                <w:rFonts w:cs="Arial"/>
              </w:rPr>
              <w:t>Station Road, Bamber Bridge</w:t>
            </w:r>
          </w:p>
        </w:tc>
        <w:tc>
          <w:tcPr>
            <w:tcW w:w="1391" w:type="dxa"/>
            <w:tcBorders>
              <w:top w:val="nil"/>
              <w:left w:val="nil"/>
              <w:bottom w:val="single" w:sz="8" w:space="0" w:color="auto"/>
              <w:right w:val="single" w:sz="8" w:space="0" w:color="auto"/>
            </w:tcBorders>
            <w:shd w:val="clear" w:color="auto" w:fill="auto"/>
            <w:vAlign w:val="center"/>
            <w:hideMark/>
          </w:tcPr>
          <w:p w14:paraId="2C816C69" w14:textId="77777777" w:rsidR="009A064D" w:rsidRPr="00E56ABF" w:rsidRDefault="009A064D" w:rsidP="009A064D">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C6A" w14:textId="77777777" w:rsidR="009A064D" w:rsidRPr="00E56ABF" w:rsidRDefault="009A064D" w:rsidP="009A064D">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C6B" w14:textId="77777777" w:rsidR="009A064D" w:rsidRPr="00E56ABF" w:rsidRDefault="009A064D" w:rsidP="009A064D">
            <w:pPr>
              <w:jc w:val="center"/>
              <w:rPr>
                <w:rFonts w:cs="Arial"/>
              </w:rPr>
            </w:pPr>
            <w:r w:rsidRPr="00E56ABF">
              <w:rPr>
                <w:rFonts w:cs="Arial"/>
              </w:rPr>
              <w:t>22.00</w:t>
            </w:r>
          </w:p>
        </w:tc>
        <w:tc>
          <w:tcPr>
            <w:tcW w:w="937" w:type="dxa"/>
            <w:tcBorders>
              <w:top w:val="nil"/>
              <w:left w:val="nil"/>
              <w:bottom w:val="single" w:sz="8" w:space="0" w:color="auto"/>
              <w:right w:val="single" w:sz="8" w:space="0" w:color="auto"/>
            </w:tcBorders>
            <w:shd w:val="clear" w:color="auto" w:fill="auto"/>
            <w:vAlign w:val="center"/>
            <w:hideMark/>
          </w:tcPr>
          <w:p w14:paraId="2C816C6C" w14:textId="77777777" w:rsidR="009A064D" w:rsidRPr="00E56ABF" w:rsidRDefault="009A064D" w:rsidP="009A064D">
            <w:pPr>
              <w:jc w:val="center"/>
              <w:rPr>
                <w:rFonts w:cs="Arial"/>
              </w:rPr>
            </w:pPr>
            <w:r w:rsidRPr="00E56ABF">
              <w:rPr>
                <w:rFonts w:cs="Arial"/>
              </w:rPr>
              <w:t>24.00</w:t>
            </w:r>
          </w:p>
        </w:tc>
        <w:tc>
          <w:tcPr>
            <w:tcW w:w="849" w:type="dxa"/>
            <w:tcBorders>
              <w:top w:val="nil"/>
              <w:left w:val="nil"/>
              <w:bottom w:val="single" w:sz="8" w:space="0" w:color="auto"/>
              <w:right w:val="single" w:sz="8" w:space="0" w:color="auto"/>
            </w:tcBorders>
            <w:shd w:val="clear" w:color="auto" w:fill="auto"/>
            <w:vAlign w:val="center"/>
            <w:hideMark/>
          </w:tcPr>
          <w:p w14:paraId="2C816C6D" w14:textId="77777777" w:rsidR="009A064D" w:rsidRPr="00E56ABF" w:rsidRDefault="009A064D" w:rsidP="009A064D">
            <w:pPr>
              <w:jc w:val="center"/>
              <w:rPr>
                <w:rFonts w:cs="Arial"/>
              </w:rPr>
            </w:pPr>
            <w:r w:rsidRPr="00E56ABF">
              <w:rPr>
                <w:rFonts w:cs="Arial"/>
              </w:rPr>
              <w:t>19.14</w:t>
            </w:r>
          </w:p>
        </w:tc>
        <w:tc>
          <w:tcPr>
            <w:tcW w:w="849" w:type="dxa"/>
            <w:tcBorders>
              <w:top w:val="nil"/>
              <w:left w:val="nil"/>
              <w:bottom w:val="single" w:sz="8" w:space="0" w:color="auto"/>
              <w:right w:val="single" w:sz="8" w:space="0" w:color="auto"/>
            </w:tcBorders>
            <w:shd w:val="clear" w:color="auto" w:fill="auto"/>
            <w:vAlign w:val="center"/>
            <w:hideMark/>
          </w:tcPr>
          <w:p w14:paraId="2C816C6E" w14:textId="77777777" w:rsidR="009A064D" w:rsidRPr="00E56ABF" w:rsidRDefault="009A064D" w:rsidP="009A064D">
            <w:pPr>
              <w:jc w:val="center"/>
              <w:rPr>
                <w:rFonts w:cs="Arial"/>
              </w:rPr>
            </w:pPr>
            <w:r w:rsidRPr="00E56ABF">
              <w:rPr>
                <w:rFonts w:cs="Arial"/>
              </w:rPr>
              <w:t>25.02</w:t>
            </w:r>
          </w:p>
        </w:tc>
        <w:tc>
          <w:tcPr>
            <w:tcW w:w="1298" w:type="dxa"/>
            <w:tcBorders>
              <w:top w:val="nil"/>
              <w:left w:val="nil"/>
              <w:bottom w:val="single" w:sz="8" w:space="0" w:color="auto"/>
              <w:right w:val="single" w:sz="8" w:space="0" w:color="auto"/>
            </w:tcBorders>
            <w:shd w:val="clear" w:color="auto" w:fill="auto"/>
            <w:vAlign w:val="center"/>
            <w:hideMark/>
          </w:tcPr>
          <w:p w14:paraId="2C816C6F" w14:textId="77777777" w:rsidR="009A064D" w:rsidRPr="00E56ABF" w:rsidRDefault="009A064D" w:rsidP="009A064D">
            <w:pPr>
              <w:jc w:val="center"/>
              <w:rPr>
                <w:rFonts w:cs="Arial"/>
              </w:rPr>
            </w:pPr>
            <w:r w:rsidRPr="00E56ABF">
              <w:rPr>
                <w:rFonts w:cs="Arial"/>
              </w:rPr>
              <w:t>24.80</w:t>
            </w:r>
          </w:p>
        </w:tc>
      </w:tr>
      <w:tr w:rsidR="009A064D" w:rsidRPr="00E56ABF" w14:paraId="2C816C79"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C71" w14:textId="77777777" w:rsidR="009A064D" w:rsidRPr="00E56ABF" w:rsidRDefault="009A064D" w:rsidP="009A064D">
            <w:pPr>
              <w:rPr>
                <w:rFonts w:cs="Arial"/>
              </w:rPr>
            </w:pPr>
            <w:r w:rsidRPr="00E56ABF">
              <w:rPr>
                <w:rFonts w:cs="Arial"/>
              </w:rPr>
              <w:t>Station Road, Bamber Bridge</w:t>
            </w:r>
          </w:p>
        </w:tc>
        <w:tc>
          <w:tcPr>
            <w:tcW w:w="1391" w:type="dxa"/>
            <w:tcBorders>
              <w:top w:val="nil"/>
              <w:left w:val="nil"/>
              <w:bottom w:val="single" w:sz="8" w:space="0" w:color="auto"/>
              <w:right w:val="single" w:sz="8" w:space="0" w:color="auto"/>
            </w:tcBorders>
            <w:shd w:val="clear" w:color="auto" w:fill="auto"/>
            <w:vAlign w:val="center"/>
            <w:hideMark/>
          </w:tcPr>
          <w:p w14:paraId="2C816C72" w14:textId="77777777" w:rsidR="009A064D" w:rsidRPr="00E56ABF" w:rsidRDefault="009A064D" w:rsidP="009A064D">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C73" w14:textId="77777777" w:rsidR="009A064D" w:rsidRPr="00E56ABF" w:rsidRDefault="009A064D" w:rsidP="009A064D">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C74" w14:textId="77777777" w:rsidR="009A064D" w:rsidRPr="00E56ABF" w:rsidRDefault="009A064D" w:rsidP="009A064D">
            <w:pPr>
              <w:jc w:val="center"/>
              <w:rPr>
                <w:rFonts w:cs="Arial"/>
              </w:rPr>
            </w:pPr>
            <w:r w:rsidRPr="00E56ABF">
              <w:rPr>
                <w:rFonts w:cs="Arial"/>
              </w:rPr>
              <w:t>29.00</w:t>
            </w:r>
          </w:p>
        </w:tc>
        <w:tc>
          <w:tcPr>
            <w:tcW w:w="937" w:type="dxa"/>
            <w:tcBorders>
              <w:top w:val="nil"/>
              <w:left w:val="nil"/>
              <w:bottom w:val="single" w:sz="8" w:space="0" w:color="auto"/>
              <w:right w:val="single" w:sz="8" w:space="0" w:color="auto"/>
            </w:tcBorders>
            <w:shd w:val="clear" w:color="auto" w:fill="auto"/>
            <w:vAlign w:val="center"/>
            <w:hideMark/>
          </w:tcPr>
          <w:p w14:paraId="2C816C75" w14:textId="77777777" w:rsidR="009A064D" w:rsidRPr="00E56ABF" w:rsidRDefault="009A064D" w:rsidP="009A064D">
            <w:pPr>
              <w:jc w:val="center"/>
              <w:rPr>
                <w:rFonts w:cs="Arial"/>
              </w:rPr>
            </w:pPr>
            <w:r w:rsidRPr="00E56ABF">
              <w:rPr>
                <w:rFonts w:cs="Arial"/>
              </w:rPr>
              <w:t>30.00</w:t>
            </w:r>
          </w:p>
        </w:tc>
        <w:tc>
          <w:tcPr>
            <w:tcW w:w="849" w:type="dxa"/>
            <w:tcBorders>
              <w:top w:val="nil"/>
              <w:left w:val="nil"/>
              <w:bottom w:val="single" w:sz="8" w:space="0" w:color="auto"/>
              <w:right w:val="single" w:sz="8" w:space="0" w:color="auto"/>
            </w:tcBorders>
            <w:shd w:val="clear" w:color="auto" w:fill="auto"/>
            <w:vAlign w:val="center"/>
            <w:hideMark/>
          </w:tcPr>
          <w:p w14:paraId="2C816C76" w14:textId="77777777" w:rsidR="009A064D" w:rsidRPr="00E56ABF" w:rsidRDefault="009A064D" w:rsidP="009A064D">
            <w:pPr>
              <w:jc w:val="center"/>
              <w:rPr>
                <w:rFonts w:cs="Arial"/>
              </w:rPr>
            </w:pPr>
            <w:r w:rsidRPr="00E56ABF">
              <w:rPr>
                <w:rFonts w:cs="Arial"/>
              </w:rPr>
              <w:t>27.00</w:t>
            </w:r>
          </w:p>
        </w:tc>
        <w:tc>
          <w:tcPr>
            <w:tcW w:w="849" w:type="dxa"/>
            <w:tcBorders>
              <w:top w:val="nil"/>
              <w:left w:val="nil"/>
              <w:bottom w:val="single" w:sz="8" w:space="0" w:color="auto"/>
              <w:right w:val="single" w:sz="8" w:space="0" w:color="auto"/>
            </w:tcBorders>
            <w:shd w:val="clear" w:color="auto" w:fill="auto"/>
            <w:vAlign w:val="center"/>
            <w:hideMark/>
          </w:tcPr>
          <w:p w14:paraId="2C816C77" w14:textId="77777777" w:rsidR="009A064D" w:rsidRPr="00E56ABF" w:rsidRDefault="009A064D" w:rsidP="009A064D">
            <w:pPr>
              <w:jc w:val="center"/>
              <w:rPr>
                <w:rFonts w:cs="Arial"/>
              </w:rPr>
            </w:pPr>
            <w:r w:rsidRPr="00E56ABF">
              <w:rPr>
                <w:rFonts w:cs="Arial"/>
              </w:rPr>
              <w:t>28.10</w:t>
            </w:r>
          </w:p>
        </w:tc>
        <w:tc>
          <w:tcPr>
            <w:tcW w:w="1298" w:type="dxa"/>
            <w:tcBorders>
              <w:top w:val="nil"/>
              <w:left w:val="nil"/>
              <w:bottom w:val="single" w:sz="8" w:space="0" w:color="auto"/>
              <w:right w:val="single" w:sz="8" w:space="0" w:color="auto"/>
            </w:tcBorders>
            <w:shd w:val="clear" w:color="auto" w:fill="auto"/>
            <w:vAlign w:val="center"/>
            <w:hideMark/>
          </w:tcPr>
          <w:p w14:paraId="2C816C78" w14:textId="77777777" w:rsidR="009A064D" w:rsidRPr="00E56ABF" w:rsidRDefault="009A064D" w:rsidP="009A064D">
            <w:pPr>
              <w:jc w:val="center"/>
              <w:rPr>
                <w:rFonts w:cs="Arial"/>
              </w:rPr>
            </w:pPr>
            <w:r w:rsidRPr="00E56ABF">
              <w:rPr>
                <w:rFonts w:cs="Arial"/>
              </w:rPr>
              <w:t>26.20</w:t>
            </w:r>
          </w:p>
        </w:tc>
      </w:tr>
      <w:tr w:rsidR="009A064D" w:rsidRPr="00E56ABF" w14:paraId="2C816C82"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C7A" w14:textId="77777777" w:rsidR="009A064D" w:rsidRPr="00E56ABF" w:rsidRDefault="009A064D" w:rsidP="009A064D">
            <w:pPr>
              <w:rPr>
                <w:rFonts w:cs="Arial"/>
              </w:rPr>
            </w:pPr>
            <w:r w:rsidRPr="00E56ABF">
              <w:rPr>
                <w:rFonts w:cs="Arial"/>
              </w:rPr>
              <w:t>Station Road, Bamber Bridge</w:t>
            </w:r>
          </w:p>
        </w:tc>
        <w:tc>
          <w:tcPr>
            <w:tcW w:w="1391" w:type="dxa"/>
            <w:tcBorders>
              <w:top w:val="nil"/>
              <w:left w:val="nil"/>
              <w:bottom w:val="single" w:sz="8" w:space="0" w:color="auto"/>
              <w:right w:val="single" w:sz="8" w:space="0" w:color="auto"/>
            </w:tcBorders>
            <w:shd w:val="clear" w:color="auto" w:fill="auto"/>
            <w:vAlign w:val="center"/>
            <w:hideMark/>
          </w:tcPr>
          <w:p w14:paraId="2C816C7B" w14:textId="77777777" w:rsidR="009A064D" w:rsidRPr="00E56ABF" w:rsidRDefault="009A064D" w:rsidP="009A064D">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C7C" w14:textId="77777777" w:rsidR="009A064D" w:rsidRPr="00E56ABF" w:rsidRDefault="009A064D" w:rsidP="009A064D">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C7D" w14:textId="77777777" w:rsidR="009A064D" w:rsidRPr="00E56ABF" w:rsidRDefault="009A064D" w:rsidP="009A064D">
            <w:pPr>
              <w:jc w:val="center"/>
              <w:rPr>
                <w:rFonts w:cs="Arial"/>
              </w:rPr>
            </w:pPr>
            <w:r w:rsidRPr="00E56ABF">
              <w:rPr>
                <w:rFonts w:cs="Arial"/>
              </w:rPr>
              <w:t>27.00</w:t>
            </w:r>
          </w:p>
        </w:tc>
        <w:tc>
          <w:tcPr>
            <w:tcW w:w="937" w:type="dxa"/>
            <w:tcBorders>
              <w:top w:val="nil"/>
              <w:left w:val="nil"/>
              <w:bottom w:val="single" w:sz="8" w:space="0" w:color="auto"/>
              <w:right w:val="single" w:sz="8" w:space="0" w:color="auto"/>
            </w:tcBorders>
            <w:shd w:val="clear" w:color="auto" w:fill="auto"/>
            <w:vAlign w:val="center"/>
            <w:hideMark/>
          </w:tcPr>
          <w:p w14:paraId="2C816C7E" w14:textId="77777777" w:rsidR="009A064D" w:rsidRPr="00E56ABF" w:rsidRDefault="009A064D" w:rsidP="009A064D">
            <w:pPr>
              <w:jc w:val="center"/>
              <w:rPr>
                <w:rFonts w:cs="Arial"/>
              </w:rPr>
            </w:pPr>
            <w:r w:rsidRPr="00E56ABF">
              <w:rPr>
                <w:rFonts w:cs="Arial"/>
              </w:rPr>
              <w:t>26.00</w:t>
            </w:r>
          </w:p>
        </w:tc>
        <w:tc>
          <w:tcPr>
            <w:tcW w:w="849" w:type="dxa"/>
            <w:tcBorders>
              <w:top w:val="nil"/>
              <w:left w:val="nil"/>
              <w:bottom w:val="single" w:sz="8" w:space="0" w:color="auto"/>
              <w:right w:val="single" w:sz="8" w:space="0" w:color="auto"/>
            </w:tcBorders>
            <w:shd w:val="clear" w:color="auto" w:fill="auto"/>
            <w:vAlign w:val="center"/>
            <w:hideMark/>
          </w:tcPr>
          <w:p w14:paraId="2C816C7F" w14:textId="77777777" w:rsidR="009A064D" w:rsidRPr="00E56ABF" w:rsidRDefault="009A064D" w:rsidP="009A064D">
            <w:pPr>
              <w:jc w:val="center"/>
              <w:rPr>
                <w:rFonts w:cs="Arial"/>
              </w:rPr>
            </w:pPr>
            <w:r w:rsidRPr="00E56ABF">
              <w:rPr>
                <w:rFonts w:cs="Arial"/>
              </w:rPr>
              <w:t>22.00</w:t>
            </w:r>
          </w:p>
        </w:tc>
        <w:tc>
          <w:tcPr>
            <w:tcW w:w="849" w:type="dxa"/>
            <w:tcBorders>
              <w:top w:val="nil"/>
              <w:left w:val="nil"/>
              <w:bottom w:val="single" w:sz="8" w:space="0" w:color="auto"/>
              <w:right w:val="single" w:sz="8" w:space="0" w:color="auto"/>
            </w:tcBorders>
            <w:shd w:val="clear" w:color="auto" w:fill="auto"/>
            <w:vAlign w:val="center"/>
            <w:hideMark/>
          </w:tcPr>
          <w:p w14:paraId="2C816C80" w14:textId="77777777" w:rsidR="009A064D" w:rsidRPr="00E56ABF" w:rsidRDefault="009A064D" w:rsidP="009A064D">
            <w:pPr>
              <w:jc w:val="center"/>
              <w:rPr>
                <w:rFonts w:cs="Arial"/>
              </w:rPr>
            </w:pPr>
            <w:r w:rsidRPr="00E56ABF">
              <w:rPr>
                <w:rFonts w:cs="Arial"/>
              </w:rPr>
              <w:t>24.70</w:t>
            </w:r>
          </w:p>
        </w:tc>
        <w:tc>
          <w:tcPr>
            <w:tcW w:w="1298" w:type="dxa"/>
            <w:tcBorders>
              <w:top w:val="nil"/>
              <w:left w:val="nil"/>
              <w:bottom w:val="single" w:sz="8" w:space="0" w:color="auto"/>
              <w:right w:val="single" w:sz="8" w:space="0" w:color="auto"/>
            </w:tcBorders>
            <w:shd w:val="clear" w:color="auto" w:fill="auto"/>
            <w:vAlign w:val="center"/>
            <w:hideMark/>
          </w:tcPr>
          <w:p w14:paraId="2C816C81" w14:textId="77777777" w:rsidR="009A064D" w:rsidRPr="00E56ABF" w:rsidRDefault="009A064D" w:rsidP="009A064D">
            <w:pPr>
              <w:jc w:val="center"/>
              <w:rPr>
                <w:rFonts w:cs="Arial"/>
              </w:rPr>
            </w:pPr>
            <w:r w:rsidRPr="00E56ABF">
              <w:rPr>
                <w:rFonts w:cs="Arial"/>
              </w:rPr>
              <w:t>22.90</w:t>
            </w:r>
          </w:p>
        </w:tc>
      </w:tr>
      <w:tr w:rsidR="009A064D" w:rsidRPr="00E56ABF" w14:paraId="2C816C8B" w14:textId="77777777" w:rsidTr="009A064D">
        <w:trPr>
          <w:trHeight w:val="782"/>
        </w:trPr>
        <w:tc>
          <w:tcPr>
            <w:tcW w:w="1794" w:type="dxa"/>
            <w:tcBorders>
              <w:top w:val="nil"/>
              <w:left w:val="single" w:sz="8" w:space="0" w:color="auto"/>
              <w:bottom w:val="single" w:sz="8" w:space="0" w:color="auto"/>
              <w:right w:val="single" w:sz="8" w:space="0" w:color="auto"/>
            </w:tcBorders>
            <w:shd w:val="clear" w:color="000000" w:fill="CBE9D3"/>
            <w:vAlign w:val="center"/>
            <w:hideMark/>
          </w:tcPr>
          <w:p w14:paraId="2C816C83" w14:textId="77777777" w:rsidR="009A064D" w:rsidRPr="00E56ABF" w:rsidRDefault="009A064D" w:rsidP="009A064D">
            <w:pPr>
              <w:rPr>
                <w:rFonts w:cs="Arial"/>
              </w:rPr>
            </w:pPr>
            <w:r w:rsidRPr="00E56ABF">
              <w:rPr>
                <w:rFonts w:cs="Arial"/>
              </w:rPr>
              <w:t>Station Road, Bamber Bridge</w:t>
            </w:r>
          </w:p>
        </w:tc>
        <w:tc>
          <w:tcPr>
            <w:tcW w:w="1391" w:type="dxa"/>
            <w:tcBorders>
              <w:top w:val="nil"/>
              <w:left w:val="nil"/>
              <w:bottom w:val="single" w:sz="8" w:space="0" w:color="auto"/>
              <w:right w:val="single" w:sz="8" w:space="0" w:color="auto"/>
            </w:tcBorders>
            <w:shd w:val="clear" w:color="auto" w:fill="auto"/>
            <w:vAlign w:val="center"/>
            <w:hideMark/>
          </w:tcPr>
          <w:p w14:paraId="2C816C84" w14:textId="77777777" w:rsidR="009A064D" w:rsidRPr="00E56ABF" w:rsidRDefault="009A064D" w:rsidP="009A064D">
            <w:pPr>
              <w:rPr>
                <w:rFonts w:cs="Arial"/>
              </w:rPr>
            </w:pPr>
            <w:r w:rsidRPr="00E56ABF">
              <w:rPr>
                <w:rFonts w:cs="Arial"/>
              </w:rPr>
              <w:t>Roadside</w:t>
            </w:r>
          </w:p>
        </w:tc>
        <w:tc>
          <w:tcPr>
            <w:tcW w:w="1353" w:type="dxa"/>
            <w:tcBorders>
              <w:top w:val="nil"/>
              <w:left w:val="nil"/>
              <w:bottom w:val="single" w:sz="8" w:space="0" w:color="auto"/>
              <w:right w:val="single" w:sz="8" w:space="0" w:color="auto"/>
            </w:tcBorders>
            <w:shd w:val="clear" w:color="auto" w:fill="auto"/>
            <w:vAlign w:val="center"/>
            <w:hideMark/>
          </w:tcPr>
          <w:p w14:paraId="2C816C85" w14:textId="77777777" w:rsidR="009A064D" w:rsidRPr="00E56ABF" w:rsidRDefault="009A064D" w:rsidP="009A064D">
            <w:pPr>
              <w:rPr>
                <w:rFonts w:cs="Arial"/>
              </w:rPr>
            </w:pPr>
            <w:r w:rsidRPr="00E56ABF">
              <w:rPr>
                <w:rFonts w:cs="Arial"/>
              </w:rPr>
              <w:t>Diffusion Tube</w:t>
            </w:r>
          </w:p>
        </w:tc>
        <w:tc>
          <w:tcPr>
            <w:tcW w:w="849" w:type="dxa"/>
            <w:tcBorders>
              <w:top w:val="nil"/>
              <w:left w:val="nil"/>
              <w:bottom w:val="single" w:sz="8" w:space="0" w:color="auto"/>
              <w:right w:val="single" w:sz="8" w:space="0" w:color="auto"/>
            </w:tcBorders>
            <w:shd w:val="clear" w:color="auto" w:fill="auto"/>
            <w:vAlign w:val="center"/>
            <w:hideMark/>
          </w:tcPr>
          <w:p w14:paraId="2C816C86" w14:textId="77777777" w:rsidR="009A064D" w:rsidRPr="00E56ABF" w:rsidRDefault="009A064D" w:rsidP="009A064D">
            <w:pPr>
              <w:jc w:val="center"/>
              <w:rPr>
                <w:rFonts w:cs="Arial"/>
              </w:rPr>
            </w:pPr>
            <w:r w:rsidRPr="00E56ABF">
              <w:rPr>
                <w:rFonts w:cs="Arial"/>
              </w:rPr>
              <w:t>34.00</w:t>
            </w:r>
          </w:p>
        </w:tc>
        <w:tc>
          <w:tcPr>
            <w:tcW w:w="937" w:type="dxa"/>
            <w:tcBorders>
              <w:top w:val="nil"/>
              <w:left w:val="nil"/>
              <w:bottom w:val="single" w:sz="8" w:space="0" w:color="auto"/>
              <w:right w:val="single" w:sz="8" w:space="0" w:color="auto"/>
            </w:tcBorders>
            <w:shd w:val="clear" w:color="auto" w:fill="auto"/>
            <w:vAlign w:val="center"/>
            <w:hideMark/>
          </w:tcPr>
          <w:p w14:paraId="2C816C87" w14:textId="77777777" w:rsidR="009A064D" w:rsidRPr="00E56ABF" w:rsidRDefault="009A064D" w:rsidP="009A064D">
            <w:pPr>
              <w:jc w:val="center"/>
              <w:rPr>
                <w:rFonts w:cs="Arial"/>
              </w:rPr>
            </w:pPr>
            <w:r w:rsidRPr="00E56ABF">
              <w:rPr>
                <w:rFonts w:cs="Arial"/>
              </w:rPr>
              <w:t>35.00</w:t>
            </w:r>
          </w:p>
        </w:tc>
        <w:tc>
          <w:tcPr>
            <w:tcW w:w="849" w:type="dxa"/>
            <w:tcBorders>
              <w:top w:val="nil"/>
              <w:left w:val="nil"/>
              <w:bottom w:val="single" w:sz="8" w:space="0" w:color="auto"/>
              <w:right w:val="single" w:sz="8" w:space="0" w:color="auto"/>
            </w:tcBorders>
            <w:shd w:val="clear" w:color="auto" w:fill="auto"/>
            <w:vAlign w:val="center"/>
            <w:hideMark/>
          </w:tcPr>
          <w:p w14:paraId="2C816C88" w14:textId="77777777" w:rsidR="009A064D" w:rsidRPr="00E56ABF" w:rsidRDefault="009A064D" w:rsidP="009A064D">
            <w:pPr>
              <w:jc w:val="center"/>
              <w:rPr>
                <w:rFonts w:cs="Arial"/>
              </w:rPr>
            </w:pPr>
            <w:r w:rsidRPr="00E56ABF">
              <w:rPr>
                <w:rFonts w:cs="Arial"/>
              </w:rPr>
              <w:t>32.06</w:t>
            </w:r>
          </w:p>
        </w:tc>
        <w:tc>
          <w:tcPr>
            <w:tcW w:w="849" w:type="dxa"/>
            <w:tcBorders>
              <w:top w:val="nil"/>
              <w:left w:val="nil"/>
              <w:bottom w:val="single" w:sz="8" w:space="0" w:color="auto"/>
              <w:right w:val="single" w:sz="8" w:space="0" w:color="auto"/>
            </w:tcBorders>
            <w:shd w:val="clear" w:color="auto" w:fill="auto"/>
            <w:vAlign w:val="center"/>
            <w:hideMark/>
          </w:tcPr>
          <w:p w14:paraId="2C816C89" w14:textId="77777777" w:rsidR="009A064D" w:rsidRPr="00E56ABF" w:rsidRDefault="009A064D" w:rsidP="009A064D">
            <w:pPr>
              <w:jc w:val="center"/>
              <w:rPr>
                <w:rFonts w:cs="Arial"/>
              </w:rPr>
            </w:pPr>
            <w:r w:rsidRPr="00E56ABF">
              <w:rPr>
                <w:rFonts w:cs="Arial"/>
              </w:rPr>
              <w:t>39.90</w:t>
            </w:r>
          </w:p>
        </w:tc>
        <w:tc>
          <w:tcPr>
            <w:tcW w:w="1298" w:type="dxa"/>
            <w:tcBorders>
              <w:top w:val="nil"/>
              <w:left w:val="nil"/>
              <w:bottom w:val="single" w:sz="8" w:space="0" w:color="auto"/>
              <w:right w:val="single" w:sz="8" w:space="0" w:color="auto"/>
            </w:tcBorders>
            <w:shd w:val="clear" w:color="auto" w:fill="auto"/>
            <w:vAlign w:val="center"/>
            <w:hideMark/>
          </w:tcPr>
          <w:p w14:paraId="2C816C8A" w14:textId="77777777" w:rsidR="009A064D" w:rsidRPr="00E56ABF" w:rsidRDefault="009A064D" w:rsidP="009A064D">
            <w:pPr>
              <w:jc w:val="center"/>
              <w:rPr>
                <w:rFonts w:cs="Arial"/>
              </w:rPr>
            </w:pPr>
            <w:r w:rsidRPr="00E56ABF">
              <w:rPr>
                <w:rFonts w:cs="Arial"/>
              </w:rPr>
              <w:t>35.09</w:t>
            </w:r>
          </w:p>
        </w:tc>
      </w:tr>
    </w:tbl>
    <w:p w14:paraId="2C816C8C" w14:textId="77777777" w:rsidR="00E56ABF" w:rsidRDefault="00E56ABF" w:rsidP="004C2F94">
      <w:pPr>
        <w:rPr>
          <w:rFonts w:cs="Arial"/>
        </w:rPr>
      </w:pPr>
    </w:p>
    <w:p w14:paraId="2C816C8D" w14:textId="77777777" w:rsidR="00E56ABF" w:rsidRPr="00E56ABF" w:rsidRDefault="00E56ABF" w:rsidP="00E56ABF">
      <w:pPr>
        <w:rPr>
          <w:rFonts w:cs="Arial"/>
        </w:rPr>
      </w:pPr>
      <w:r w:rsidRPr="00E56ABF">
        <w:rPr>
          <w:rFonts w:cs="Arial"/>
        </w:rPr>
        <w:t>Notes:</w:t>
      </w:r>
    </w:p>
    <w:p w14:paraId="2C816C8E" w14:textId="77777777" w:rsidR="00E56ABF" w:rsidRDefault="00E56ABF" w:rsidP="00E56ABF">
      <w:pPr>
        <w:rPr>
          <w:rFonts w:cs="Arial"/>
        </w:rPr>
      </w:pPr>
      <w:r w:rsidRPr="00E56ABF">
        <w:rPr>
          <w:rFonts w:cs="Arial"/>
        </w:rPr>
        <w:t>Exceedances of the NO2 annual mean objective of 40µg/m3 are shown in bold.</w:t>
      </w:r>
    </w:p>
    <w:p w14:paraId="2C816C8F" w14:textId="77777777" w:rsidR="00956670" w:rsidRDefault="00956670" w:rsidP="00E56ABF">
      <w:pPr>
        <w:rPr>
          <w:rFonts w:cs="Arial"/>
        </w:rPr>
      </w:pPr>
    </w:p>
    <w:p w14:paraId="2C816C90" w14:textId="77777777" w:rsidR="00956670" w:rsidRDefault="00956670" w:rsidP="00E56ABF">
      <w:pPr>
        <w:rPr>
          <w:rFonts w:cs="Arial"/>
        </w:rPr>
      </w:pPr>
    </w:p>
    <w:p w14:paraId="2C816C91" w14:textId="77777777" w:rsidR="00956670" w:rsidRDefault="00956670" w:rsidP="00E56ABF">
      <w:pPr>
        <w:rPr>
          <w:rFonts w:cs="Arial"/>
        </w:rPr>
      </w:pPr>
    </w:p>
    <w:p w14:paraId="2C816C92" w14:textId="77777777" w:rsidR="00956670" w:rsidRDefault="00956670" w:rsidP="00E56ABF">
      <w:pPr>
        <w:rPr>
          <w:rFonts w:cs="Arial"/>
        </w:rPr>
      </w:pPr>
    </w:p>
    <w:p w14:paraId="2C816C93" w14:textId="77777777" w:rsidR="00956670" w:rsidRDefault="00956670" w:rsidP="00E56ABF">
      <w:pPr>
        <w:rPr>
          <w:rFonts w:cs="Arial"/>
        </w:rPr>
      </w:pPr>
    </w:p>
    <w:p w14:paraId="2C816C94" w14:textId="77777777" w:rsidR="00956670" w:rsidRDefault="00956670" w:rsidP="00E56ABF">
      <w:pPr>
        <w:rPr>
          <w:rFonts w:cs="Arial"/>
        </w:rPr>
      </w:pPr>
    </w:p>
    <w:p w14:paraId="2C816C95" w14:textId="77777777" w:rsidR="00956670" w:rsidRDefault="00956670" w:rsidP="00E56ABF">
      <w:pPr>
        <w:rPr>
          <w:rFonts w:cs="Arial"/>
        </w:rPr>
      </w:pPr>
    </w:p>
    <w:p w14:paraId="2C816C96" w14:textId="77777777" w:rsidR="00956670" w:rsidRDefault="00956670" w:rsidP="00E56ABF">
      <w:pPr>
        <w:rPr>
          <w:rFonts w:cs="Arial"/>
        </w:rPr>
      </w:pPr>
    </w:p>
    <w:p w14:paraId="2C816C97" w14:textId="77777777" w:rsidR="00956670" w:rsidRDefault="00956670" w:rsidP="00E56ABF">
      <w:pPr>
        <w:rPr>
          <w:rFonts w:cs="Arial"/>
        </w:rPr>
      </w:pPr>
    </w:p>
    <w:p w14:paraId="2C816C98" w14:textId="77777777" w:rsidR="00956670" w:rsidRDefault="00956670" w:rsidP="00E56ABF">
      <w:pPr>
        <w:rPr>
          <w:rFonts w:cs="Arial"/>
        </w:rPr>
      </w:pPr>
    </w:p>
    <w:p w14:paraId="2C816C99" w14:textId="77777777" w:rsidR="009A064D" w:rsidRDefault="009A064D" w:rsidP="00E56ABF">
      <w:pPr>
        <w:rPr>
          <w:rFonts w:cs="Arial"/>
        </w:rPr>
      </w:pPr>
    </w:p>
    <w:p w14:paraId="2C816C9A" w14:textId="77777777" w:rsidR="009A064D" w:rsidRDefault="009A064D" w:rsidP="00E56ABF">
      <w:pPr>
        <w:rPr>
          <w:rFonts w:cs="Arial"/>
        </w:rPr>
      </w:pPr>
    </w:p>
    <w:p w14:paraId="2C816C9B" w14:textId="77777777" w:rsidR="009A064D" w:rsidRDefault="009A064D" w:rsidP="00E56ABF">
      <w:pPr>
        <w:rPr>
          <w:rFonts w:cs="Arial"/>
        </w:rPr>
      </w:pPr>
    </w:p>
    <w:p w14:paraId="2C816C9C" w14:textId="77777777" w:rsidR="009A064D" w:rsidRDefault="009A064D" w:rsidP="00E56ABF">
      <w:pPr>
        <w:rPr>
          <w:rFonts w:cs="Arial"/>
        </w:rPr>
      </w:pPr>
    </w:p>
    <w:p w14:paraId="2C816C9D" w14:textId="77777777" w:rsidR="009A064D" w:rsidRDefault="009A064D" w:rsidP="00E56ABF">
      <w:pPr>
        <w:rPr>
          <w:rFonts w:cs="Arial"/>
        </w:rPr>
      </w:pPr>
    </w:p>
    <w:p w14:paraId="2C816C9E" w14:textId="77777777" w:rsidR="009A064D" w:rsidRDefault="009A064D" w:rsidP="00E56ABF">
      <w:pPr>
        <w:rPr>
          <w:rFonts w:cs="Arial"/>
        </w:rPr>
      </w:pPr>
    </w:p>
    <w:p w14:paraId="2C816C9F" w14:textId="77777777" w:rsidR="009A064D" w:rsidRDefault="009A064D" w:rsidP="00E56ABF">
      <w:pPr>
        <w:rPr>
          <w:rFonts w:cs="Arial"/>
        </w:rPr>
      </w:pPr>
    </w:p>
    <w:p w14:paraId="2C816CA0" w14:textId="77777777" w:rsidR="009A064D" w:rsidRDefault="009A064D" w:rsidP="00E56ABF">
      <w:pPr>
        <w:rPr>
          <w:rFonts w:cs="Arial"/>
        </w:rPr>
      </w:pPr>
    </w:p>
    <w:p w14:paraId="2C816CA1" w14:textId="77777777" w:rsidR="009A064D" w:rsidRDefault="009A064D" w:rsidP="00E56ABF">
      <w:pPr>
        <w:rPr>
          <w:rFonts w:cs="Arial"/>
        </w:rPr>
      </w:pPr>
    </w:p>
    <w:p w14:paraId="2C816CA2" w14:textId="77777777" w:rsidR="00956670" w:rsidRDefault="00956670" w:rsidP="00956670">
      <w:pPr>
        <w:rPr>
          <w:rFonts w:cs="Arial"/>
        </w:rPr>
      </w:pPr>
    </w:p>
    <w:p w14:paraId="2C816CA3" w14:textId="77777777" w:rsidR="00956670" w:rsidRDefault="00956670" w:rsidP="00956670">
      <w:pPr>
        <w:rPr>
          <w:rFonts w:cs="Arial"/>
        </w:rPr>
      </w:pPr>
    </w:p>
    <w:p w14:paraId="2C816CA4" w14:textId="77777777" w:rsidR="00956670" w:rsidRDefault="00956670" w:rsidP="00956670">
      <w:pPr>
        <w:rPr>
          <w:rFonts w:cs="Arial"/>
          <w:b/>
          <w:bCs/>
        </w:rPr>
      </w:pPr>
      <w:r w:rsidRPr="00327BC5">
        <w:rPr>
          <w:rFonts w:cs="Arial"/>
          <w:b/>
          <w:bCs/>
        </w:rPr>
        <w:t>Figure A – Trends in Annual Mean NO</w:t>
      </w:r>
      <w:r w:rsidRPr="00327BC5">
        <w:rPr>
          <w:rFonts w:cs="Arial"/>
          <w:b/>
          <w:bCs/>
          <w:vertAlign w:val="subscript"/>
        </w:rPr>
        <w:t>2</w:t>
      </w:r>
      <w:r w:rsidRPr="00327BC5">
        <w:rPr>
          <w:rFonts w:cs="Arial"/>
          <w:b/>
          <w:bCs/>
        </w:rPr>
        <w:t xml:space="preserve"> Concentrations </w:t>
      </w:r>
    </w:p>
    <w:p w14:paraId="2C816CA5" w14:textId="77777777" w:rsidR="009A064D" w:rsidRPr="00327BC5" w:rsidRDefault="004D5836" w:rsidP="00956670">
      <w:pPr>
        <w:rPr>
          <w:rFonts w:cs="Arial"/>
          <w:b/>
          <w:bCs/>
        </w:rPr>
      </w:pPr>
      <w:r w:rsidRPr="00327BC5">
        <w:rPr>
          <w:rFonts w:cs="Arial"/>
          <w:noProof/>
        </w:rPr>
        <w:drawing>
          <wp:anchor distT="0" distB="0" distL="114300" distR="114300" simplePos="0" relativeHeight="251662848" behindDoc="0" locked="0" layoutInCell="1" allowOverlap="1" wp14:anchorId="2C816D9A" wp14:editId="2C816D9B">
            <wp:simplePos x="0" y="0"/>
            <wp:positionH relativeFrom="column">
              <wp:posOffset>76200</wp:posOffset>
            </wp:positionH>
            <wp:positionV relativeFrom="paragraph">
              <wp:posOffset>96520</wp:posOffset>
            </wp:positionV>
            <wp:extent cx="6257925" cy="4733925"/>
            <wp:effectExtent l="0" t="0" r="952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2C816CA6" w14:textId="77777777" w:rsidR="00956670" w:rsidRPr="00327BC5" w:rsidRDefault="00956670" w:rsidP="00956670">
      <w:pPr>
        <w:rPr>
          <w:rFonts w:cs="Arial"/>
          <w:b/>
          <w:bCs/>
        </w:rPr>
      </w:pPr>
    </w:p>
    <w:p w14:paraId="2C816CA7" w14:textId="77777777" w:rsidR="00956670" w:rsidRPr="00327BC5" w:rsidRDefault="00956670" w:rsidP="00956670">
      <w:pPr>
        <w:rPr>
          <w:rFonts w:cs="Arial"/>
          <w:b/>
          <w:bCs/>
        </w:rPr>
      </w:pPr>
    </w:p>
    <w:p w14:paraId="2C816CA8" w14:textId="77777777" w:rsidR="00956670" w:rsidRPr="00327BC5" w:rsidRDefault="00956670" w:rsidP="00956670">
      <w:pPr>
        <w:rPr>
          <w:rFonts w:cs="Arial"/>
          <w:b/>
          <w:bCs/>
        </w:rPr>
      </w:pPr>
    </w:p>
    <w:p w14:paraId="2C816CA9" w14:textId="77777777" w:rsidR="00956670" w:rsidRPr="00327BC5" w:rsidRDefault="00956670" w:rsidP="00956670">
      <w:pPr>
        <w:rPr>
          <w:rFonts w:cs="Arial"/>
          <w:b/>
          <w:bCs/>
        </w:rPr>
      </w:pPr>
    </w:p>
    <w:p w14:paraId="2C816CAA" w14:textId="77777777" w:rsidR="00956670" w:rsidRPr="00327BC5" w:rsidRDefault="004D5836" w:rsidP="00956670">
      <w:pPr>
        <w:rPr>
          <w:rFonts w:cs="Arial"/>
        </w:rPr>
      </w:pPr>
      <w:r w:rsidRPr="00327BC5">
        <w:rPr>
          <w:rFonts w:cs="Arial"/>
          <w:noProof/>
        </w:rPr>
        <w:drawing>
          <wp:anchor distT="0" distB="0" distL="114300" distR="114300" simplePos="0" relativeHeight="251661824" behindDoc="0" locked="0" layoutInCell="1" allowOverlap="1" wp14:anchorId="2C816D9C" wp14:editId="2C816D9D">
            <wp:simplePos x="0" y="0"/>
            <wp:positionH relativeFrom="column">
              <wp:posOffset>76200</wp:posOffset>
            </wp:positionH>
            <wp:positionV relativeFrom="paragraph">
              <wp:posOffset>4170045</wp:posOffset>
            </wp:positionV>
            <wp:extent cx="6257925" cy="4243070"/>
            <wp:effectExtent l="0" t="0" r="9525" b="508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00956670" w:rsidRPr="00327BC5">
        <w:rPr>
          <w:rFonts w:cs="Arial"/>
        </w:rPr>
        <w:br w:type="page"/>
      </w:r>
    </w:p>
    <w:p w14:paraId="2C816CAB" w14:textId="77777777" w:rsidR="00956670" w:rsidRDefault="004D5836" w:rsidP="00956670">
      <w:pPr>
        <w:rPr>
          <w:rFonts w:cs="Arial"/>
          <w:b/>
          <w:bCs/>
        </w:rPr>
      </w:pPr>
      <w:r w:rsidRPr="00327BC5">
        <w:rPr>
          <w:rFonts w:cs="Arial"/>
          <w:noProof/>
        </w:rPr>
        <w:lastRenderedPageBreak/>
        <w:drawing>
          <wp:anchor distT="0" distB="0" distL="114300" distR="114300" simplePos="0" relativeHeight="251658752" behindDoc="0" locked="0" layoutInCell="1" allowOverlap="1" wp14:anchorId="2C816D9E" wp14:editId="2C816D9F">
            <wp:simplePos x="0" y="0"/>
            <wp:positionH relativeFrom="column">
              <wp:posOffset>-40640</wp:posOffset>
            </wp:positionH>
            <wp:positionV relativeFrom="paragraph">
              <wp:posOffset>-219075</wp:posOffset>
            </wp:positionV>
            <wp:extent cx="6629400" cy="5019675"/>
            <wp:effectExtent l="0" t="0" r="0" b="952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2C816CAC" w14:textId="77777777" w:rsidR="009A064D" w:rsidRDefault="009A064D" w:rsidP="00956670">
      <w:pPr>
        <w:rPr>
          <w:rFonts w:cs="Arial"/>
          <w:b/>
          <w:bCs/>
        </w:rPr>
      </w:pPr>
    </w:p>
    <w:p w14:paraId="2C816CAD" w14:textId="77777777" w:rsidR="009A064D" w:rsidRDefault="009A064D" w:rsidP="00956670">
      <w:pPr>
        <w:rPr>
          <w:rFonts w:cs="Arial"/>
          <w:b/>
          <w:bCs/>
        </w:rPr>
      </w:pPr>
    </w:p>
    <w:p w14:paraId="2C816CAE" w14:textId="77777777" w:rsidR="009A064D" w:rsidRDefault="009A064D" w:rsidP="00956670">
      <w:pPr>
        <w:rPr>
          <w:rFonts w:cs="Arial"/>
          <w:b/>
          <w:bCs/>
        </w:rPr>
      </w:pPr>
    </w:p>
    <w:p w14:paraId="2C816CAF" w14:textId="77777777" w:rsidR="009A064D" w:rsidRDefault="009A064D" w:rsidP="00956670">
      <w:pPr>
        <w:rPr>
          <w:rFonts w:cs="Arial"/>
          <w:b/>
          <w:bCs/>
        </w:rPr>
      </w:pPr>
    </w:p>
    <w:p w14:paraId="2C816CB0" w14:textId="77777777" w:rsidR="009A064D" w:rsidRDefault="009A064D" w:rsidP="00956670">
      <w:pPr>
        <w:rPr>
          <w:rFonts w:cs="Arial"/>
          <w:b/>
          <w:bCs/>
        </w:rPr>
      </w:pPr>
    </w:p>
    <w:p w14:paraId="2C816CB1" w14:textId="77777777" w:rsidR="009A064D" w:rsidRDefault="009A064D" w:rsidP="00956670">
      <w:pPr>
        <w:rPr>
          <w:rFonts w:cs="Arial"/>
          <w:b/>
          <w:bCs/>
        </w:rPr>
      </w:pPr>
    </w:p>
    <w:p w14:paraId="2C816CB2" w14:textId="77777777" w:rsidR="009A064D" w:rsidRDefault="009A064D" w:rsidP="00956670">
      <w:pPr>
        <w:rPr>
          <w:rFonts w:cs="Arial"/>
          <w:b/>
          <w:bCs/>
        </w:rPr>
      </w:pPr>
    </w:p>
    <w:p w14:paraId="2C816CB3" w14:textId="77777777" w:rsidR="009A064D" w:rsidRDefault="009A064D" w:rsidP="00956670">
      <w:pPr>
        <w:rPr>
          <w:rFonts w:cs="Arial"/>
          <w:b/>
          <w:bCs/>
        </w:rPr>
      </w:pPr>
    </w:p>
    <w:p w14:paraId="2C816CB4" w14:textId="77777777" w:rsidR="009A064D" w:rsidRDefault="009A064D" w:rsidP="00956670">
      <w:pPr>
        <w:rPr>
          <w:rFonts w:cs="Arial"/>
          <w:b/>
          <w:bCs/>
        </w:rPr>
      </w:pPr>
    </w:p>
    <w:p w14:paraId="2C816CB5" w14:textId="77777777" w:rsidR="009A064D" w:rsidRDefault="009A064D" w:rsidP="00956670">
      <w:pPr>
        <w:rPr>
          <w:rFonts w:cs="Arial"/>
          <w:b/>
          <w:bCs/>
        </w:rPr>
      </w:pPr>
    </w:p>
    <w:p w14:paraId="2C816CB6" w14:textId="77777777" w:rsidR="009A064D" w:rsidRDefault="009A064D" w:rsidP="00956670">
      <w:pPr>
        <w:rPr>
          <w:rFonts w:cs="Arial"/>
          <w:b/>
          <w:bCs/>
        </w:rPr>
      </w:pPr>
    </w:p>
    <w:p w14:paraId="2C816CB7" w14:textId="77777777" w:rsidR="009A064D" w:rsidRDefault="009A064D" w:rsidP="00956670">
      <w:pPr>
        <w:rPr>
          <w:rFonts w:cs="Arial"/>
          <w:b/>
          <w:bCs/>
        </w:rPr>
      </w:pPr>
    </w:p>
    <w:p w14:paraId="2C816CB8" w14:textId="77777777" w:rsidR="009A064D" w:rsidRDefault="009A064D" w:rsidP="00956670">
      <w:pPr>
        <w:rPr>
          <w:rFonts w:cs="Arial"/>
          <w:b/>
          <w:bCs/>
        </w:rPr>
      </w:pPr>
    </w:p>
    <w:p w14:paraId="2C816CB9" w14:textId="77777777" w:rsidR="009A064D" w:rsidRDefault="009A064D" w:rsidP="00956670">
      <w:pPr>
        <w:rPr>
          <w:rFonts w:cs="Arial"/>
          <w:b/>
          <w:bCs/>
        </w:rPr>
      </w:pPr>
    </w:p>
    <w:p w14:paraId="2C816CBA" w14:textId="77777777" w:rsidR="009A064D" w:rsidRDefault="009A064D" w:rsidP="00956670">
      <w:pPr>
        <w:rPr>
          <w:rFonts w:cs="Arial"/>
          <w:b/>
          <w:bCs/>
        </w:rPr>
      </w:pPr>
    </w:p>
    <w:p w14:paraId="2C816CBB" w14:textId="77777777" w:rsidR="009A064D" w:rsidRDefault="009A064D" w:rsidP="00956670">
      <w:pPr>
        <w:rPr>
          <w:rFonts w:cs="Arial"/>
          <w:b/>
          <w:bCs/>
        </w:rPr>
      </w:pPr>
    </w:p>
    <w:p w14:paraId="2C816CBC" w14:textId="77777777" w:rsidR="009A064D" w:rsidRDefault="009A064D" w:rsidP="00956670">
      <w:pPr>
        <w:rPr>
          <w:rFonts w:cs="Arial"/>
          <w:b/>
          <w:bCs/>
        </w:rPr>
      </w:pPr>
    </w:p>
    <w:p w14:paraId="2C816CBD" w14:textId="77777777" w:rsidR="009A064D" w:rsidRDefault="009A064D" w:rsidP="00956670">
      <w:pPr>
        <w:rPr>
          <w:rFonts w:cs="Arial"/>
          <w:b/>
          <w:bCs/>
        </w:rPr>
      </w:pPr>
    </w:p>
    <w:p w14:paraId="2C816CBE" w14:textId="77777777" w:rsidR="009A064D" w:rsidRDefault="009A064D" w:rsidP="00956670">
      <w:pPr>
        <w:rPr>
          <w:rFonts w:cs="Arial"/>
          <w:b/>
          <w:bCs/>
        </w:rPr>
      </w:pPr>
    </w:p>
    <w:p w14:paraId="2C816CBF" w14:textId="77777777" w:rsidR="009A064D" w:rsidRDefault="009A064D" w:rsidP="00956670">
      <w:pPr>
        <w:rPr>
          <w:rFonts w:cs="Arial"/>
          <w:b/>
          <w:bCs/>
        </w:rPr>
      </w:pPr>
    </w:p>
    <w:p w14:paraId="2C816CC0" w14:textId="77777777" w:rsidR="009A064D" w:rsidRDefault="009A064D" w:rsidP="00956670">
      <w:pPr>
        <w:rPr>
          <w:rFonts w:cs="Arial"/>
          <w:b/>
          <w:bCs/>
        </w:rPr>
      </w:pPr>
    </w:p>
    <w:p w14:paraId="2C816CC1" w14:textId="77777777" w:rsidR="009A064D" w:rsidRDefault="009A064D" w:rsidP="00956670">
      <w:pPr>
        <w:rPr>
          <w:rFonts w:cs="Arial"/>
          <w:b/>
          <w:bCs/>
        </w:rPr>
      </w:pPr>
    </w:p>
    <w:p w14:paraId="2C816CC2" w14:textId="77777777" w:rsidR="009A064D" w:rsidRDefault="009A064D" w:rsidP="00956670">
      <w:pPr>
        <w:rPr>
          <w:rFonts w:cs="Arial"/>
          <w:b/>
          <w:bCs/>
        </w:rPr>
      </w:pPr>
    </w:p>
    <w:p w14:paraId="2C816CC3" w14:textId="77777777" w:rsidR="009A064D" w:rsidRDefault="009A064D" w:rsidP="00956670">
      <w:pPr>
        <w:rPr>
          <w:rFonts w:cs="Arial"/>
          <w:b/>
          <w:bCs/>
        </w:rPr>
      </w:pPr>
    </w:p>
    <w:p w14:paraId="2C816CC4" w14:textId="77777777" w:rsidR="009A064D" w:rsidRDefault="009A064D" w:rsidP="00956670">
      <w:pPr>
        <w:rPr>
          <w:rFonts w:cs="Arial"/>
          <w:b/>
          <w:bCs/>
        </w:rPr>
      </w:pPr>
    </w:p>
    <w:p w14:paraId="2C816CC5" w14:textId="77777777" w:rsidR="009A064D" w:rsidRDefault="009A064D" w:rsidP="00956670">
      <w:pPr>
        <w:rPr>
          <w:rFonts w:cs="Arial"/>
          <w:b/>
          <w:bCs/>
        </w:rPr>
      </w:pPr>
    </w:p>
    <w:p w14:paraId="2C816CC6" w14:textId="77777777" w:rsidR="009A064D" w:rsidRDefault="009A064D" w:rsidP="00956670">
      <w:pPr>
        <w:rPr>
          <w:rFonts w:cs="Arial"/>
          <w:b/>
          <w:bCs/>
        </w:rPr>
      </w:pPr>
    </w:p>
    <w:p w14:paraId="2C816CC7" w14:textId="77777777" w:rsidR="009A064D" w:rsidRDefault="009A064D" w:rsidP="00956670">
      <w:pPr>
        <w:rPr>
          <w:rFonts w:cs="Arial"/>
          <w:b/>
          <w:bCs/>
        </w:rPr>
      </w:pPr>
    </w:p>
    <w:p w14:paraId="2C816CC8" w14:textId="77777777" w:rsidR="009A064D" w:rsidRDefault="009A064D" w:rsidP="00956670">
      <w:pPr>
        <w:rPr>
          <w:rFonts w:cs="Arial"/>
          <w:b/>
          <w:bCs/>
        </w:rPr>
      </w:pPr>
    </w:p>
    <w:p w14:paraId="2C816CC9" w14:textId="77777777" w:rsidR="009A064D" w:rsidRDefault="004D5836" w:rsidP="00956670">
      <w:pPr>
        <w:rPr>
          <w:rFonts w:cs="Arial"/>
          <w:b/>
          <w:bCs/>
        </w:rPr>
      </w:pPr>
      <w:r w:rsidRPr="00327BC5">
        <w:rPr>
          <w:rFonts w:cs="Arial"/>
          <w:noProof/>
        </w:rPr>
        <w:drawing>
          <wp:anchor distT="0" distB="0" distL="114300" distR="114300" simplePos="0" relativeHeight="251660800" behindDoc="0" locked="0" layoutInCell="1" allowOverlap="1" wp14:anchorId="2C816DA0" wp14:editId="2C816DA1">
            <wp:simplePos x="0" y="0"/>
            <wp:positionH relativeFrom="column">
              <wp:posOffset>-57150</wp:posOffset>
            </wp:positionH>
            <wp:positionV relativeFrom="paragraph">
              <wp:posOffset>95885</wp:posOffset>
            </wp:positionV>
            <wp:extent cx="6645910" cy="4491910"/>
            <wp:effectExtent l="0" t="0" r="254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2C816CCA" w14:textId="77777777" w:rsidR="009A064D" w:rsidRDefault="009A064D" w:rsidP="00956670">
      <w:pPr>
        <w:rPr>
          <w:rFonts w:cs="Arial"/>
          <w:b/>
          <w:bCs/>
        </w:rPr>
      </w:pPr>
    </w:p>
    <w:p w14:paraId="2C816CCB" w14:textId="77777777" w:rsidR="009A064D" w:rsidRDefault="009A064D" w:rsidP="00956670">
      <w:pPr>
        <w:rPr>
          <w:rFonts w:cs="Arial"/>
          <w:b/>
          <w:bCs/>
        </w:rPr>
      </w:pPr>
    </w:p>
    <w:p w14:paraId="2C816CCC" w14:textId="77777777" w:rsidR="009A064D" w:rsidRDefault="009A064D" w:rsidP="00956670">
      <w:pPr>
        <w:rPr>
          <w:rFonts w:cs="Arial"/>
          <w:b/>
          <w:bCs/>
        </w:rPr>
      </w:pPr>
    </w:p>
    <w:p w14:paraId="2C816CCD" w14:textId="77777777" w:rsidR="009A064D" w:rsidRDefault="009A064D" w:rsidP="00956670">
      <w:pPr>
        <w:rPr>
          <w:rFonts w:cs="Arial"/>
          <w:b/>
          <w:bCs/>
        </w:rPr>
      </w:pPr>
    </w:p>
    <w:p w14:paraId="2C816CCE" w14:textId="77777777" w:rsidR="009A064D" w:rsidRDefault="009A064D" w:rsidP="00956670">
      <w:pPr>
        <w:rPr>
          <w:rFonts w:cs="Arial"/>
          <w:b/>
          <w:bCs/>
        </w:rPr>
      </w:pPr>
    </w:p>
    <w:p w14:paraId="2C816CCF" w14:textId="77777777" w:rsidR="009A064D" w:rsidRDefault="009A064D" w:rsidP="00956670">
      <w:pPr>
        <w:rPr>
          <w:rFonts w:cs="Arial"/>
          <w:b/>
          <w:bCs/>
        </w:rPr>
      </w:pPr>
    </w:p>
    <w:p w14:paraId="2C816CD0" w14:textId="77777777" w:rsidR="009A064D" w:rsidRDefault="009A064D" w:rsidP="00956670">
      <w:pPr>
        <w:rPr>
          <w:rFonts w:cs="Arial"/>
          <w:b/>
          <w:bCs/>
        </w:rPr>
      </w:pPr>
    </w:p>
    <w:p w14:paraId="2C816CD1" w14:textId="77777777" w:rsidR="009A064D" w:rsidRDefault="009A064D" w:rsidP="00956670">
      <w:pPr>
        <w:rPr>
          <w:rFonts w:cs="Arial"/>
          <w:b/>
          <w:bCs/>
        </w:rPr>
      </w:pPr>
    </w:p>
    <w:p w14:paraId="2C816CD2" w14:textId="77777777" w:rsidR="009A064D" w:rsidRDefault="009A064D" w:rsidP="00956670">
      <w:pPr>
        <w:rPr>
          <w:rFonts w:cs="Arial"/>
          <w:b/>
          <w:bCs/>
        </w:rPr>
      </w:pPr>
    </w:p>
    <w:p w14:paraId="2C816CD3" w14:textId="77777777" w:rsidR="009A064D" w:rsidRDefault="009A064D" w:rsidP="00956670">
      <w:pPr>
        <w:rPr>
          <w:rFonts w:cs="Arial"/>
          <w:b/>
          <w:bCs/>
        </w:rPr>
      </w:pPr>
    </w:p>
    <w:p w14:paraId="2C816CD4" w14:textId="77777777" w:rsidR="009A064D" w:rsidRDefault="009A064D" w:rsidP="00956670">
      <w:pPr>
        <w:rPr>
          <w:rFonts w:cs="Arial"/>
          <w:b/>
          <w:bCs/>
        </w:rPr>
      </w:pPr>
    </w:p>
    <w:p w14:paraId="2C816CD5" w14:textId="77777777" w:rsidR="009A064D" w:rsidRDefault="009A064D" w:rsidP="00956670">
      <w:pPr>
        <w:rPr>
          <w:rFonts w:cs="Arial"/>
          <w:b/>
          <w:bCs/>
        </w:rPr>
      </w:pPr>
    </w:p>
    <w:p w14:paraId="2C816CD6" w14:textId="77777777" w:rsidR="009A064D" w:rsidRDefault="009A064D" w:rsidP="00956670">
      <w:pPr>
        <w:rPr>
          <w:rFonts w:cs="Arial"/>
          <w:b/>
          <w:bCs/>
        </w:rPr>
      </w:pPr>
    </w:p>
    <w:p w14:paraId="2C816CD7" w14:textId="77777777" w:rsidR="009A064D" w:rsidRDefault="009A064D" w:rsidP="00956670">
      <w:pPr>
        <w:rPr>
          <w:rFonts w:cs="Arial"/>
          <w:b/>
          <w:bCs/>
        </w:rPr>
      </w:pPr>
    </w:p>
    <w:p w14:paraId="2C816CD8" w14:textId="77777777" w:rsidR="009A064D" w:rsidRDefault="009A064D" w:rsidP="00956670">
      <w:pPr>
        <w:rPr>
          <w:rFonts w:cs="Arial"/>
          <w:b/>
          <w:bCs/>
        </w:rPr>
      </w:pPr>
    </w:p>
    <w:p w14:paraId="2C816CD9" w14:textId="77777777" w:rsidR="009A064D" w:rsidRDefault="009A064D" w:rsidP="00956670">
      <w:pPr>
        <w:rPr>
          <w:rFonts w:cs="Arial"/>
          <w:b/>
          <w:bCs/>
        </w:rPr>
      </w:pPr>
    </w:p>
    <w:p w14:paraId="2C816CDA" w14:textId="77777777" w:rsidR="009A064D" w:rsidRDefault="009A064D" w:rsidP="00956670">
      <w:pPr>
        <w:rPr>
          <w:rFonts w:cs="Arial"/>
          <w:b/>
          <w:bCs/>
        </w:rPr>
      </w:pPr>
    </w:p>
    <w:p w14:paraId="2C816CDB" w14:textId="77777777" w:rsidR="009A064D" w:rsidRDefault="009A064D" w:rsidP="00956670">
      <w:pPr>
        <w:rPr>
          <w:rFonts w:cs="Arial"/>
          <w:b/>
          <w:bCs/>
        </w:rPr>
      </w:pPr>
    </w:p>
    <w:p w14:paraId="2C816CDC" w14:textId="77777777" w:rsidR="009A064D" w:rsidRDefault="009A064D" w:rsidP="00956670">
      <w:pPr>
        <w:rPr>
          <w:rFonts w:cs="Arial"/>
          <w:b/>
          <w:bCs/>
        </w:rPr>
      </w:pPr>
    </w:p>
    <w:p w14:paraId="2C816CDD" w14:textId="77777777" w:rsidR="009A064D" w:rsidRDefault="009A064D" w:rsidP="00956670">
      <w:pPr>
        <w:rPr>
          <w:rFonts w:cs="Arial"/>
          <w:b/>
          <w:bCs/>
        </w:rPr>
      </w:pPr>
    </w:p>
    <w:p w14:paraId="2C816CDE" w14:textId="77777777" w:rsidR="009A064D" w:rsidRDefault="009A064D" w:rsidP="00956670">
      <w:pPr>
        <w:rPr>
          <w:rFonts w:cs="Arial"/>
          <w:b/>
          <w:bCs/>
        </w:rPr>
      </w:pPr>
    </w:p>
    <w:p w14:paraId="2C816CDF" w14:textId="77777777" w:rsidR="009A064D" w:rsidRDefault="009A064D" w:rsidP="00956670">
      <w:pPr>
        <w:rPr>
          <w:rFonts w:cs="Arial"/>
          <w:b/>
          <w:bCs/>
        </w:rPr>
      </w:pPr>
    </w:p>
    <w:p w14:paraId="2C816CE0" w14:textId="77777777" w:rsidR="009A064D" w:rsidRDefault="009A064D" w:rsidP="00956670">
      <w:pPr>
        <w:rPr>
          <w:rFonts w:cs="Arial"/>
          <w:b/>
          <w:bCs/>
        </w:rPr>
      </w:pPr>
    </w:p>
    <w:p w14:paraId="2C816CE1" w14:textId="77777777" w:rsidR="009A064D" w:rsidRDefault="009A064D" w:rsidP="00956670">
      <w:pPr>
        <w:rPr>
          <w:rFonts w:cs="Arial"/>
          <w:b/>
          <w:bCs/>
        </w:rPr>
      </w:pPr>
    </w:p>
    <w:p w14:paraId="2C816CE2" w14:textId="77777777" w:rsidR="009A064D" w:rsidRDefault="009A064D" w:rsidP="00956670">
      <w:pPr>
        <w:rPr>
          <w:rFonts w:cs="Arial"/>
          <w:b/>
          <w:bCs/>
        </w:rPr>
      </w:pPr>
    </w:p>
    <w:p w14:paraId="2C816CE3" w14:textId="77777777" w:rsidR="009A064D" w:rsidRDefault="009A064D" w:rsidP="00956670">
      <w:pPr>
        <w:rPr>
          <w:rFonts w:cs="Arial"/>
          <w:b/>
          <w:bCs/>
        </w:rPr>
      </w:pPr>
    </w:p>
    <w:p w14:paraId="2C816CE4" w14:textId="77777777" w:rsidR="004D5836" w:rsidRDefault="004D5836" w:rsidP="00956670">
      <w:pPr>
        <w:rPr>
          <w:rFonts w:cs="Arial"/>
          <w:b/>
          <w:bCs/>
        </w:rPr>
      </w:pPr>
      <w:r>
        <w:rPr>
          <w:rFonts w:cs="Arial"/>
          <w:b/>
          <w:bCs/>
        </w:rPr>
        <w:br w:type="page"/>
      </w:r>
    </w:p>
    <w:p w14:paraId="2C816CE5" w14:textId="77777777" w:rsidR="004D5836" w:rsidRDefault="004D5836" w:rsidP="00956670">
      <w:pPr>
        <w:rPr>
          <w:rFonts w:cs="Arial"/>
          <w:b/>
          <w:bCs/>
        </w:rPr>
      </w:pPr>
      <w:r w:rsidRPr="00327BC5">
        <w:rPr>
          <w:rFonts w:cs="Arial"/>
          <w:noProof/>
        </w:rPr>
        <w:lastRenderedPageBreak/>
        <w:drawing>
          <wp:anchor distT="0" distB="0" distL="114300" distR="114300" simplePos="0" relativeHeight="251659776" behindDoc="0" locked="0" layoutInCell="1" allowOverlap="1" wp14:anchorId="2C816DA2" wp14:editId="2C816DA3">
            <wp:simplePos x="0" y="0"/>
            <wp:positionH relativeFrom="column">
              <wp:posOffset>-104140</wp:posOffset>
            </wp:positionH>
            <wp:positionV relativeFrom="paragraph">
              <wp:posOffset>-142875</wp:posOffset>
            </wp:positionV>
            <wp:extent cx="6686550" cy="5210175"/>
            <wp:effectExtent l="0" t="0" r="0" b="952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cs="Arial"/>
          <w:b/>
          <w:bCs/>
        </w:rPr>
        <w:br w:type="page"/>
      </w:r>
    </w:p>
    <w:p w14:paraId="2C816CE6" w14:textId="77777777" w:rsidR="009A064D" w:rsidRDefault="004D5836" w:rsidP="00956670">
      <w:pPr>
        <w:rPr>
          <w:rFonts w:cs="Arial"/>
          <w:b/>
          <w:bCs/>
        </w:rPr>
      </w:pPr>
      <w:r>
        <w:rPr>
          <w:rFonts w:cs="Arial"/>
          <w:b/>
          <w:bCs/>
        </w:rPr>
        <w:lastRenderedPageBreak/>
        <w:t>Appendix B Progress on measures to improve Air Quality</w:t>
      </w:r>
      <w:r w:rsidR="003A2003">
        <w:rPr>
          <w:rFonts w:cs="Arial"/>
          <w:b/>
          <w:bCs/>
        </w:rPr>
        <w:t xml:space="preserve"> completed</w:t>
      </w:r>
      <w:r>
        <w:rPr>
          <w:rFonts w:cs="Arial"/>
          <w:b/>
          <w:bCs/>
        </w:rPr>
        <w:t xml:space="preserve">     </w:t>
      </w:r>
    </w:p>
    <w:p w14:paraId="2C816CE7" w14:textId="77777777" w:rsidR="004D5836" w:rsidRDefault="004D5836" w:rsidP="00956670">
      <w:pPr>
        <w:rPr>
          <w:rFonts w:cs="Arial"/>
          <w:b/>
          <w:bCs/>
        </w:rPr>
      </w:pPr>
    </w:p>
    <w:tbl>
      <w:tblPr>
        <w:tblW w:w="10383" w:type="dxa"/>
        <w:tblInd w:w="-294" w:type="dxa"/>
        <w:tblLook w:val="04A0" w:firstRow="1" w:lastRow="0" w:firstColumn="1" w:lastColumn="0" w:noHBand="0" w:noVBand="1"/>
      </w:tblPr>
      <w:tblGrid>
        <w:gridCol w:w="1135"/>
        <w:gridCol w:w="3548"/>
        <w:gridCol w:w="3658"/>
        <w:gridCol w:w="2042"/>
      </w:tblGrid>
      <w:tr w:rsidR="00956670" w:rsidRPr="00956670" w14:paraId="2C816CEC" w14:textId="77777777" w:rsidTr="004D5836">
        <w:trPr>
          <w:trHeight w:val="768"/>
        </w:trPr>
        <w:tc>
          <w:tcPr>
            <w:tcW w:w="1135" w:type="dxa"/>
            <w:tcBorders>
              <w:top w:val="single" w:sz="8" w:space="0" w:color="auto"/>
              <w:left w:val="single" w:sz="8" w:space="0" w:color="auto"/>
              <w:bottom w:val="single" w:sz="8" w:space="0" w:color="auto"/>
              <w:right w:val="single" w:sz="8" w:space="0" w:color="auto"/>
            </w:tcBorders>
            <w:shd w:val="clear" w:color="000000" w:fill="00AF41"/>
            <w:vAlign w:val="center"/>
            <w:hideMark/>
          </w:tcPr>
          <w:p w14:paraId="2C816CE8" w14:textId="77777777" w:rsidR="00956670" w:rsidRPr="00956670" w:rsidRDefault="004D5836" w:rsidP="00956670">
            <w:pPr>
              <w:rPr>
                <w:rFonts w:cs="Arial"/>
                <w:b/>
                <w:bCs/>
              </w:rPr>
            </w:pPr>
            <w:r w:rsidRPr="00956670">
              <w:rPr>
                <w:rFonts w:cs="Arial"/>
                <w:b/>
                <w:bCs/>
              </w:rPr>
              <w:t>Measure No.</w:t>
            </w:r>
          </w:p>
        </w:tc>
        <w:tc>
          <w:tcPr>
            <w:tcW w:w="3548" w:type="dxa"/>
            <w:tcBorders>
              <w:top w:val="single" w:sz="8" w:space="0" w:color="auto"/>
              <w:left w:val="nil"/>
              <w:bottom w:val="single" w:sz="8" w:space="0" w:color="auto"/>
              <w:right w:val="single" w:sz="8" w:space="0" w:color="auto"/>
            </w:tcBorders>
            <w:shd w:val="clear" w:color="000000" w:fill="00AF41"/>
            <w:vAlign w:val="center"/>
            <w:hideMark/>
          </w:tcPr>
          <w:p w14:paraId="2C816CE9" w14:textId="77777777" w:rsidR="00956670" w:rsidRPr="00956670" w:rsidRDefault="00956670" w:rsidP="00956670">
            <w:pPr>
              <w:rPr>
                <w:rFonts w:cs="Arial"/>
                <w:b/>
                <w:bCs/>
              </w:rPr>
            </w:pPr>
            <w:r w:rsidRPr="00956670">
              <w:rPr>
                <w:rFonts w:cs="Arial"/>
                <w:b/>
                <w:bCs/>
              </w:rPr>
              <w:t>Measure</w:t>
            </w:r>
          </w:p>
        </w:tc>
        <w:tc>
          <w:tcPr>
            <w:tcW w:w="3658" w:type="dxa"/>
            <w:tcBorders>
              <w:top w:val="single" w:sz="8" w:space="0" w:color="auto"/>
              <w:left w:val="nil"/>
              <w:bottom w:val="single" w:sz="8" w:space="0" w:color="auto"/>
              <w:right w:val="single" w:sz="8" w:space="0" w:color="auto"/>
            </w:tcBorders>
            <w:shd w:val="clear" w:color="000000" w:fill="00AF41"/>
            <w:vAlign w:val="center"/>
          </w:tcPr>
          <w:p w14:paraId="2C816CEA" w14:textId="77777777" w:rsidR="00956670" w:rsidRPr="00956670" w:rsidRDefault="00956670" w:rsidP="00956670">
            <w:pPr>
              <w:rPr>
                <w:rFonts w:cs="Arial"/>
                <w:b/>
                <w:bCs/>
              </w:rPr>
            </w:pPr>
            <w:r w:rsidRPr="00956670">
              <w:rPr>
                <w:rFonts w:cs="Arial"/>
                <w:b/>
                <w:bCs/>
              </w:rPr>
              <w:t>Progress to Date</w:t>
            </w:r>
          </w:p>
        </w:tc>
        <w:tc>
          <w:tcPr>
            <w:tcW w:w="2042" w:type="dxa"/>
            <w:tcBorders>
              <w:top w:val="single" w:sz="8" w:space="0" w:color="auto"/>
              <w:left w:val="nil"/>
              <w:bottom w:val="single" w:sz="8" w:space="0" w:color="auto"/>
              <w:right w:val="single" w:sz="8" w:space="0" w:color="auto"/>
            </w:tcBorders>
            <w:shd w:val="clear" w:color="000000" w:fill="00AF41"/>
            <w:vAlign w:val="center"/>
            <w:hideMark/>
          </w:tcPr>
          <w:p w14:paraId="2C816CEB" w14:textId="77777777" w:rsidR="00956670" w:rsidRPr="00956670" w:rsidRDefault="00956670" w:rsidP="00956670">
            <w:pPr>
              <w:rPr>
                <w:rFonts w:cs="Arial"/>
                <w:b/>
                <w:bCs/>
              </w:rPr>
            </w:pPr>
            <w:r w:rsidRPr="00956670">
              <w:rPr>
                <w:rFonts w:cs="Arial"/>
                <w:b/>
                <w:bCs/>
              </w:rPr>
              <w:t>Lead Agency </w:t>
            </w:r>
          </w:p>
        </w:tc>
      </w:tr>
      <w:tr w:rsidR="00956670" w:rsidRPr="00956670" w14:paraId="2C816CF2" w14:textId="77777777" w:rsidTr="00D52E5D">
        <w:trPr>
          <w:trHeight w:val="2060"/>
        </w:trPr>
        <w:tc>
          <w:tcPr>
            <w:tcW w:w="1135" w:type="dxa"/>
            <w:tcBorders>
              <w:top w:val="nil"/>
              <w:left w:val="single" w:sz="8" w:space="0" w:color="auto"/>
              <w:bottom w:val="single" w:sz="8" w:space="0" w:color="auto"/>
              <w:right w:val="single" w:sz="8" w:space="0" w:color="auto"/>
            </w:tcBorders>
            <w:shd w:val="clear" w:color="000000" w:fill="CBE9D3"/>
            <w:vAlign w:val="center"/>
            <w:hideMark/>
          </w:tcPr>
          <w:p w14:paraId="2C816CED" w14:textId="77777777" w:rsidR="00956670" w:rsidRPr="00956670" w:rsidRDefault="00956670" w:rsidP="00956670">
            <w:pPr>
              <w:rPr>
                <w:rFonts w:cs="Arial"/>
              </w:rPr>
            </w:pPr>
            <w:r w:rsidRPr="00956670">
              <w:rPr>
                <w:rFonts w:cs="Arial"/>
              </w:rPr>
              <w:t>1</w:t>
            </w:r>
          </w:p>
        </w:tc>
        <w:tc>
          <w:tcPr>
            <w:tcW w:w="3548" w:type="dxa"/>
            <w:tcBorders>
              <w:top w:val="nil"/>
              <w:left w:val="nil"/>
              <w:bottom w:val="single" w:sz="8" w:space="0" w:color="auto"/>
              <w:right w:val="single" w:sz="8" w:space="0" w:color="auto"/>
            </w:tcBorders>
            <w:shd w:val="clear" w:color="auto" w:fill="auto"/>
            <w:hideMark/>
          </w:tcPr>
          <w:p w14:paraId="2C816CEE" w14:textId="77777777" w:rsidR="00956670" w:rsidRPr="00956670" w:rsidRDefault="00956670" w:rsidP="00D52E5D">
            <w:pPr>
              <w:rPr>
                <w:rFonts w:cs="Arial"/>
                <w:b/>
              </w:rPr>
            </w:pPr>
            <w:r w:rsidRPr="00956670">
              <w:rPr>
                <w:rFonts w:cs="Arial"/>
                <w:b/>
              </w:rPr>
              <w:t>Ensure adequate Electrical Vehicle charging infrastructure is provided on all Planning Applications in line with the Council’s Electric Vehicle Charging Points Guidance for Developments</w:t>
            </w:r>
          </w:p>
          <w:p w14:paraId="2C816CEF" w14:textId="77777777" w:rsidR="00956670" w:rsidRPr="00956670" w:rsidRDefault="00956670" w:rsidP="00D52E5D">
            <w:pPr>
              <w:rPr>
                <w:rFonts w:cs="Arial"/>
              </w:rPr>
            </w:pPr>
          </w:p>
        </w:tc>
        <w:tc>
          <w:tcPr>
            <w:tcW w:w="3658" w:type="dxa"/>
            <w:tcBorders>
              <w:top w:val="nil"/>
              <w:left w:val="nil"/>
              <w:bottom w:val="single" w:sz="8" w:space="0" w:color="auto"/>
              <w:right w:val="single" w:sz="8" w:space="0" w:color="auto"/>
            </w:tcBorders>
            <w:shd w:val="clear" w:color="auto" w:fill="auto"/>
          </w:tcPr>
          <w:p w14:paraId="2C816CF0" w14:textId="77777777" w:rsidR="00956670" w:rsidRPr="00956670" w:rsidRDefault="00956670" w:rsidP="00D52E5D">
            <w:pPr>
              <w:rPr>
                <w:rFonts w:cs="Arial"/>
              </w:rPr>
            </w:pPr>
            <w:r w:rsidRPr="00956670">
              <w:rPr>
                <w:rFonts w:cs="Arial"/>
              </w:rPr>
              <w:t>Electrical vehicle recharging (EVR) points are requested on all suitable developments, while inclusion of EVR points is not universally included on planning decisions the majority of sites are required to provide suitable EVR points</w:t>
            </w:r>
          </w:p>
        </w:tc>
        <w:tc>
          <w:tcPr>
            <w:tcW w:w="2042" w:type="dxa"/>
            <w:tcBorders>
              <w:top w:val="nil"/>
              <w:left w:val="nil"/>
              <w:bottom w:val="single" w:sz="8" w:space="0" w:color="auto"/>
              <w:right w:val="single" w:sz="8" w:space="0" w:color="auto"/>
            </w:tcBorders>
            <w:shd w:val="clear" w:color="auto" w:fill="auto"/>
            <w:vAlign w:val="center"/>
            <w:hideMark/>
          </w:tcPr>
          <w:p w14:paraId="2C816CF1" w14:textId="77777777" w:rsidR="00956670" w:rsidRPr="00956670" w:rsidRDefault="00956670" w:rsidP="00956670">
            <w:pPr>
              <w:rPr>
                <w:rFonts w:cs="Arial"/>
              </w:rPr>
            </w:pPr>
            <w:r w:rsidRPr="00956670">
              <w:rPr>
                <w:rFonts w:cs="Arial"/>
              </w:rPr>
              <w:t>SRBC, Planning / Env Health</w:t>
            </w:r>
          </w:p>
        </w:tc>
      </w:tr>
      <w:tr w:rsidR="00956670" w:rsidRPr="00956670" w14:paraId="2C816CF8" w14:textId="77777777" w:rsidTr="00D52E5D">
        <w:trPr>
          <w:trHeight w:val="1666"/>
        </w:trPr>
        <w:tc>
          <w:tcPr>
            <w:tcW w:w="1135" w:type="dxa"/>
            <w:tcBorders>
              <w:top w:val="nil"/>
              <w:left w:val="single" w:sz="8" w:space="0" w:color="auto"/>
              <w:bottom w:val="single" w:sz="8" w:space="0" w:color="auto"/>
              <w:right w:val="single" w:sz="8" w:space="0" w:color="auto"/>
            </w:tcBorders>
            <w:shd w:val="clear" w:color="000000" w:fill="CBE9D3"/>
            <w:vAlign w:val="center"/>
          </w:tcPr>
          <w:p w14:paraId="2C816CF3" w14:textId="77777777" w:rsidR="00956670" w:rsidRPr="00956670" w:rsidRDefault="00956670" w:rsidP="00956670">
            <w:pPr>
              <w:rPr>
                <w:rFonts w:cs="Arial"/>
              </w:rPr>
            </w:pPr>
            <w:r w:rsidRPr="00956670">
              <w:rPr>
                <w:rFonts w:cs="Arial"/>
              </w:rPr>
              <w:t>2</w:t>
            </w:r>
          </w:p>
        </w:tc>
        <w:tc>
          <w:tcPr>
            <w:tcW w:w="3548" w:type="dxa"/>
            <w:tcBorders>
              <w:top w:val="nil"/>
              <w:left w:val="nil"/>
              <w:bottom w:val="single" w:sz="8" w:space="0" w:color="auto"/>
              <w:right w:val="single" w:sz="8" w:space="0" w:color="auto"/>
            </w:tcBorders>
            <w:shd w:val="clear" w:color="auto" w:fill="auto"/>
          </w:tcPr>
          <w:p w14:paraId="2C816CF4" w14:textId="77777777" w:rsidR="00956670" w:rsidRPr="00956670" w:rsidRDefault="00956670" w:rsidP="00D52E5D">
            <w:pPr>
              <w:rPr>
                <w:rFonts w:cs="Arial"/>
                <w:b/>
              </w:rPr>
            </w:pPr>
            <w:r w:rsidRPr="00956670">
              <w:rPr>
                <w:rFonts w:cs="Arial"/>
                <w:b/>
              </w:rPr>
              <w:t>Require suitable travel plans to be produced, and implemented on all relevant developments in line with the low emissions strategy</w:t>
            </w:r>
          </w:p>
          <w:p w14:paraId="2C816CF5" w14:textId="77777777" w:rsidR="00956670" w:rsidRPr="00956670" w:rsidRDefault="00956670" w:rsidP="00D52E5D">
            <w:pPr>
              <w:rPr>
                <w:rFonts w:cs="Arial"/>
              </w:rPr>
            </w:pPr>
          </w:p>
        </w:tc>
        <w:tc>
          <w:tcPr>
            <w:tcW w:w="3658" w:type="dxa"/>
            <w:tcBorders>
              <w:top w:val="nil"/>
              <w:left w:val="nil"/>
              <w:bottom w:val="single" w:sz="8" w:space="0" w:color="auto"/>
              <w:right w:val="single" w:sz="8" w:space="0" w:color="auto"/>
            </w:tcBorders>
            <w:shd w:val="clear" w:color="auto" w:fill="auto"/>
          </w:tcPr>
          <w:p w14:paraId="2C816CF6" w14:textId="77777777" w:rsidR="00956670" w:rsidRPr="00956670" w:rsidRDefault="00956670" w:rsidP="00D52E5D">
            <w:pPr>
              <w:rPr>
                <w:rFonts w:cs="Arial"/>
              </w:rPr>
            </w:pPr>
            <w:r w:rsidRPr="00956670">
              <w:rPr>
                <w:rFonts w:cs="Arial"/>
              </w:rPr>
              <w:t xml:space="preserve">Travel plans are requested on suitable planning applications, although it is acknowledged that improved guidance on the contents of Travel plans is still required for developers. </w:t>
            </w:r>
          </w:p>
        </w:tc>
        <w:tc>
          <w:tcPr>
            <w:tcW w:w="2042" w:type="dxa"/>
            <w:tcBorders>
              <w:top w:val="nil"/>
              <w:left w:val="nil"/>
              <w:bottom w:val="single" w:sz="8" w:space="0" w:color="auto"/>
              <w:right w:val="single" w:sz="8" w:space="0" w:color="auto"/>
            </w:tcBorders>
            <w:shd w:val="clear" w:color="auto" w:fill="auto"/>
            <w:vAlign w:val="center"/>
          </w:tcPr>
          <w:p w14:paraId="2C816CF7" w14:textId="77777777" w:rsidR="00956670" w:rsidRPr="00956670" w:rsidRDefault="00956670" w:rsidP="00956670">
            <w:pPr>
              <w:rPr>
                <w:rFonts w:cs="Arial"/>
              </w:rPr>
            </w:pPr>
            <w:r w:rsidRPr="00956670">
              <w:rPr>
                <w:rFonts w:cs="Arial"/>
              </w:rPr>
              <w:t>SRBC, Planning / Env. Health</w:t>
            </w:r>
          </w:p>
        </w:tc>
      </w:tr>
      <w:tr w:rsidR="00956670" w:rsidRPr="00956670" w14:paraId="2C816CFE" w14:textId="77777777" w:rsidTr="00D52E5D">
        <w:trPr>
          <w:trHeight w:val="1536"/>
        </w:trPr>
        <w:tc>
          <w:tcPr>
            <w:tcW w:w="1135" w:type="dxa"/>
            <w:tcBorders>
              <w:top w:val="nil"/>
              <w:left w:val="single" w:sz="8" w:space="0" w:color="auto"/>
              <w:bottom w:val="single" w:sz="8" w:space="0" w:color="auto"/>
              <w:right w:val="single" w:sz="8" w:space="0" w:color="auto"/>
            </w:tcBorders>
            <w:shd w:val="clear" w:color="000000" w:fill="CBE9D3"/>
            <w:vAlign w:val="center"/>
          </w:tcPr>
          <w:p w14:paraId="2C816CF9" w14:textId="77777777" w:rsidR="00956670" w:rsidRPr="00956670" w:rsidRDefault="00956670" w:rsidP="00956670">
            <w:pPr>
              <w:rPr>
                <w:rFonts w:cs="Arial"/>
              </w:rPr>
            </w:pPr>
            <w:r w:rsidRPr="00956670">
              <w:rPr>
                <w:rFonts w:cs="Arial"/>
              </w:rPr>
              <w:t>3</w:t>
            </w:r>
          </w:p>
        </w:tc>
        <w:tc>
          <w:tcPr>
            <w:tcW w:w="3548" w:type="dxa"/>
            <w:tcBorders>
              <w:top w:val="nil"/>
              <w:left w:val="nil"/>
              <w:bottom w:val="single" w:sz="8" w:space="0" w:color="auto"/>
              <w:right w:val="single" w:sz="8" w:space="0" w:color="auto"/>
            </w:tcBorders>
            <w:shd w:val="clear" w:color="auto" w:fill="auto"/>
          </w:tcPr>
          <w:p w14:paraId="2C816CFA" w14:textId="77777777" w:rsidR="00956670" w:rsidRPr="00956670" w:rsidRDefault="00956670" w:rsidP="00D52E5D">
            <w:pPr>
              <w:rPr>
                <w:rFonts w:cs="Arial"/>
                <w:b/>
              </w:rPr>
            </w:pPr>
            <w:r w:rsidRPr="00956670">
              <w:rPr>
                <w:rFonts w:cs="Arial"/>
                <w:b/>
              </w:rPr>
              <w:t>Require secure cycle storage to be included on all relevant domestic, commercial, industrial, and leisure developments</w:t>
            </w:r>
          </w:p>
          <w:p w14:paraId="2C816CFB" w14:textId="77777777" w:rsidR="00956670" w:rsidRPr="00956670" w:rsidRDefault="00956670" w:rsidP="00D52E5D">
            <w:pPr>
              <w:rPr>
                <w:rFonts w:cs="Arial"/>
              </w:rPr>
            </w:pPr>
          </w:p>
        </w:tc>
        <w:tc>
          <w:tcPr>
            <w:tcW w:w="3658" w:type="dxa"/>
            <w:tcBorders>
              <w:top w:val="nil"/>
              <w:left w:val="nil"/>
              <w:bottom w:val="single" w:sz="8" w:space="0" w:color="auto"/>
              <w:right w:val="single" w:sz="8" w:space="0" w:color="auto"/>
            </w:tcBorders>
            <w:shd w:val="clear" w:color="auto" w:fill="auto"/>
          </w:tcPr>
          <w:p w14:paraId="2C816CFC" w14:textId="77777777" w:rsidR="00956670" w:rsidRPr="00956670" w:rsidRDefault="00956670" w:rsidP="00D52E5D">
            <w:pPr>
              <w:rPr>
                <w:rFonts w:cs="Arial"/>
              </w:rPr>
            </w:pPr>
            <w:r w:rsidRPr="00956670">
              <w:rPr>
                <w:rFonts w:cs="Arial"/>
              </w:rPr>
              <w:t>Secure cycle storage is being requested on all appropriate planning applications</w:t>
            </w:r>
          </w:p>
        </w:tc>
        <w:tc>
          <w:tcPr>
            <w:tcW w:w="2042" w:type="dxa"/>
            <w:tcBorders>
              <w:top w:val="nil"/>
              <w:left w:val="nil"/>
              <w:bottom w:val="single" w:sz="8" w:space="0" w:color="auto"/>
              <w:right w:val="single" w:sz="8" w:space="0" w:color="auto"/>
            </w:tcBorders>
            <w:shd w:val="clear" w:color="auto" w:fill="auto"/>
            <w:vAlign w:val="center"/>
          </w:tcPr>
          <w:p w14:paraId="2C816CFD" w14:textId="77777777" w:rsidR="00956670" w:rsidRPr="00956670" w:rsidRDefault="00956670" w:rsidP="00956670">
            <w:pPr>
              <w:rPr>
                <w:rFonts w:cs="Arial"/>
              </w:rPr>
            </w:pPr>
            <w:r w:rsidRPr="00956670">
              <w:rPr>
                <w:rFonts w:cs="Arial"/>
              </w:rPr>
              <w:t>SRBC Planning, Env. Health</w:t>
            </w:r>
          </w:p>
        </w:tc>
      </w:tr>
      <w:tr w:rsidR="00956670" w:rsidRPr="00956670" w14:paraId="2C816D04" w14:textId="77777777" w:rsidTr="00D52E5D">
        <w:trPr>
          <w:trHeight w:val="1389"/>
        </w:trPr>
        <w:tc>
          <w:tcPr>
            <w:tcW w:w="1135" w:type="dxa"/>
            <w:tcBorders>
              <w:top w:val="nil"/>
              <w:left w:val="single" w:sz="8" w:space="0" w:color="auto"/>
              <w:bottom w:val="single" w:sz="4" w:space="0" w:color="auto"/>
              <w:right w:val="single" w:sz="8" w:space="0" w:color="auto"/>
            </w:tcBorders>
            <w:shd w:val="clear" w:color="000000" w:fill="CBE9D3"/>
            <w:vAlign w:val="center"/>
          </w:tcPr>
          <w:p w14:paraId="2C816CFF" w14:textId="77777777" w:rsidR="00956670" w:rsidRPr="00956670" w:rsidRDefault="00956670" w:rsidP="00956670">
            <w:pPr>
              <w:rPr>
                <w:rFonts w:cs="Arial"/>
              </w:rPr>
            </w:pPr>
            <w:r w:rsidRPr="00956670">
              <w:rPr>
                <w:rFonts w:cs="Arial"/>
              </w:rPr>
              <w:t>4</w:t>
            </w:r>
          </w:p>
        </w:tc>
        <w:tc>
          <w:tcPr>
            <w:tcW w:w="3548" w:type="dxa"/>
            <w:tcBorders>
              <w:top w:val="nil"/>
              <w:left w:val="nil"/>
              <w:bottom w:val="single" w:sz="4" w:space="0" w:color="auto"/>
              <w:right w:val="single" w:sz="8" w:space="0" w:color="auto"/>
            </w:tcBorders>
            <w:shd w:val="clear" w:color="auto" w:fill="auto"/>
          </w:tcPr>
          <w:p w14:paraId="2C816D00" w14:textId="77777777" w:rsidR="00956670" w:rsidRPr="00956670" w:rsidRDefault="00956670" w:rsidP="00D52E5D">
            <w:pPr>
              <w:rPr>
                <w:rFonts w:cs="Arial"/>
                <w:b/>
              </w:rPr>
            </w:pPr>
            <w:r w:rsidRPr="00956670">
              <w:rPr>
                <w:rFonts w:cs="Arial"/>
                <w:b/>
              </w:rPr>
              <w:t>Require adequate changing facilities to be provided for use of staff / visitors for all relevant commercial and industrial developments</w:t>
            </w:r>
          </w:p>
          <w:p w14:paraId="2C816D01" w14:textId="77777777" w:rsidR="00956670" w:rsidRPr="00956670" w:rsidRDefault="00956670" w:rsidP="00D52E5D">
            <w:pPr>
              <w:rPr>
                <w:rFonts w:cs="Arial"/>
              </w:rPr>
            </w:pPr>
          </w:p>
        </w:tc>
        <w:tc>
          <w:tcPr>
            <w:tcW w:w="3658" w:type="dxa"/>
            <w:tcBorders>
              <w:top w:val="nil"/>
              <w:left w:val="nil"/>
              <w:bottom w:val="single" w:sz="4" w:space="0" w:color="auto"/>
              <w:right w:val="single" w:sz="8" w:space="0" w:color="auto"/>
            </w:tcBorders>
            <w:shd w:val="clear" w:color="auto" w:fill="auto"/>
          </w:tcPr>
          <w:p w14:paraId="2C816D02" w14:textId="77777777" w:rsidR="00956670" w:rsidRPr="00956670" w:rsidRDefault="00956670" w:rsidP="00D52E5D">
            <w:pPr>
              <w:rPr>
                <w:rFonts w:cs="Arial"/>
              </w:rPr>
            </w:pPr>
            <w:r w:rsidRPr="00956670">
              <w:rPr>
                <w:rFonts w:cs="Arial"/>
              </w:rPr>
              <w:t>Changing facilities are being requested on all appropriate commercial and industrial developments</w:t>
            </w:r>
          </w:p>
        </w:tc>
        <w:tc>
          <w:tcPr>
            <w:tcW w:w="2042" w:type="dxa"/>
            <w:tcBorders>
              <w:top w:val="nil"/>
              <w:left w:val="nil"/>
              <w:bottom w:val="single" w:sz="4" w:space="0" w:color="auto"/>
              <w:right w:val="single" w:sz="8" w:space="0" w:color="auto"/>
            </w:tcBorders>
            <w:shd w:val="clear" w:color="auto" w:fill="auto"/>
            <w:vAlign w:val="center"/>
          </w:tcPr>
          <w:p w14:paraId="2C816D03" w14:textId="77777777" w:rsidR="00956670" w:rsidRPr="00956670" w:rsidRDefault="00956670" w:rsidP="00956670">
            <w:pPr>
              <w:rPr>
                <w:rFonts w:cs="Arial"/>
              </w:rPr>
            </w:pPr>
            <w:r w:rsidRPr="00956670">
              <w:rPr>
                <w:rFonts w:cs="Arial"/>
              </w:rPr>
              <w:t>SRBC, Planning/ Env. Health</w:t>
            </w:r>
          </w:p>
        </w:tc>
      </w:tr>
      <w:tr w:rsidR="00956670" w:rsidRPr="00956670" w14:paraId="2C816D0A" w14:textId="77777777" w:rsidTr="00D52E5D">
        <w:trPr>
          <w:trHeight w:val="1126"/>
        </w:trPr>
        <w:tc>
          <w:tcPr>
            <w:tcW w:w="1135"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05" w14:textId="77777777" w:rsidR="00956670" w:rsidRPr="00956670" w:rsidRDefault="00956670" w:rsidP="00956670">
            <w:pPr>
              <w:rPr>
                <w:rFonts w:cs="Arial"/>
              </w:rPr>
            </w:pPr>
            <w:r w:rsidRPr="00956670">
              <w:rPr>
                <w:rFonts w:cs="Arial"/>
              </w:rPr>
              <w:t>5</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2C816D06" w14:textId="77777777" w:rsidR="00956670" w:rsidRPr="00956670" w:rsidRDefault="00956670" w:rsidP="00D52E5D">
            <w:pPr>
              <w:rPr>
                <w:rFonts w:cs="Arial"/>
                <w:b/>
              </w:rPr>
            </w:pPr>
            <w:r w:rsidRPr="00956670">
              <w:rPr>
                <w:rFonts w:cs="Arial"/>
                <w:b/>
              </w:rPr>
              <w:t>Continue with the ‘bike to work’ salary sacrifice scheme</w:t>
            </w:r>
          </w:p>
          <w:p w14:paraId="2C816D07" w14:textId="77777777" w:rsidR="00956670" w:rsidRPr="00956670" w:rsidRDefault="00956670" w:rsidP="00D52E5D">
            <w:pPr>
              <w:rPr>
                <w:rFonts w:cs="Arial"/>
                <w:b/>
              </w:rPr>
            </w:pPr>
          </w:p>
        </w:tc>
        <w:tc>
          <w:tcPr>
            <w:tcW w:w="3658" w:type="dxa"/>
            <w:tcBorders>
              <w:top w:val="single" w:sz="4" w:space="0" w:color="auto"/>
              <w:left w:val="single" w:sz="4" w:space="0" w:color="auto"/>
              <w:bottom w:val="single" w:sz="4" w:space="0" w:color="auto"/>
              <w:right w:val="single" w:sz="4" w:space="0" w:color="auto"/>
            </w:tcBorders>
            <w:shd w:val="clear" w:color="auto" w:fill="auto"/>
          </w:tcPr>
          <w:p w14:paraId="2C816D08" w14:textId="77777777" w:rsidR="00956670" w:rsidRPr="00956670" w:rsidRDefault="00956670" w:rsidP="00D52E5D">
            <w:pPr>
              <w:rPr>
                <w:rFonts w:cs="Arial"/>
              </w:rPr>
            </w:pPr>
            <w:r w:rsidRPr="00956670">
              <w:rPr>
                <w:rFonts w:cs="Arial"/>
              </w:rPr>
              <w:t>The Council have continued with the ‘bike to work scheme’</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2C816D09" w14:textId="77777777" w:rsidR="00956670" w:rsidRPr="00956670" w:rsidRDefault="00956670" w:rsidP="00956670">
            <w:pPr>
              <w:rPr>
                <w:rFonts w:cs="Arial"/>
              </w:rPr>
            </w:pPr>
            <w:r w:rsidRPr="00956670">
              <w:rPr>
                <w:rFonts w:cs="Arial"/>
              </w:rPr>
              <w:t>SRBC&lt; HR</w:t>
            </w:r>
          </w:p>
        </w:tc>
      </w:tr>
      <w:tr w:rsidR="00956670" w:rsidRPr="00956670" w14:paraId="2C816D10" w14:textId="77777777" w:rsidTr="00D52E5D">
        <w:trPr>
          <w:trHeight w:val="1409"/>
        </w:trPr>
        <w:tc>
          <w:tcPr>
            <w:tcW w:w="1135"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0B" w14:textId="77777777" w:rsidR="00956670" w:rsidRPr="00956670" w:rsidRDefault="00956670" w:rsidP="00956670">
            <w:pPr>
              <w:rPr>
                <w:rFonts w:cs="Arial"/>
              </w:rPr>
            </w:pPr>
            <w:r w:rsidRPr="00956670">
              <w:rPr>
                <w:rFonts w:cs="Arial"/>
              </w:rPr>
              <w:t>6</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2C816D0C" w14:textId="77777777" w:rsidR="00956670" w:rsidRPr="00956670" w:rsidRDefault="00956670" w:rsidP="00D52E5D">
            <w:pPr>
              <w:rPr>
                <w:rFonts w:cs="Arial"/>
                <w:b/>
              </w:rPr>
            </w:pPr>
            <w:r w:rsidRPr="00956670">
              <w:rPr>
                <w:rFonts w:cs="Arial"/>
                <w:b/>
              </w:rPr>
              <w:t>Provide cycle reassurance training for any member of staff, elected members who wish to receive it</w:t>
            </w:r>
          </w:p>
          <w:p w14:paraId="2C816D0D" w14:textId="77777777" w:rsidR="00956670" w:rsidRPr="00956670" w:rsidRDefault="00956670" w:rsidP="00D52E5D">
            <w:pPr>
              <w:rPr>
                <w:rFonts w:cs="Arial"/>
                <w:b/>
              </w:rPr>
            </w:pPr>
          </w:p>
        </w:tc>
        <w:tc>
          <w:tcPr>
            <w:tcW w:w="3658" w:type="dxa"/>
            <w:tcBorders>
              <w:top w:val="single" w:sz="4" w:space="0" w:color="auto"/>
              <w:left w:val="single" w:sz="4" w:space="0" w:color="auto"/>
              <w:bottom w:val="single" w:sz="4" w:space="0" w:color="auto"/>
              <w:right w:val="single" w:sz="4" w:space="0" w:color="auto"/>
            </w:tcBorders>
            <w:shd w:val="clear" w:color="auto" w:fill="auto"/>
          </w:tcPr>
          <w:p w14:paraId="2C816D0E" w14:textId="77777777" w:rsidR="00956670" w:rsidRPr="00956670" w:rsidRDefault="00956670" w:rsidP="00D52E5D">
            <w:pPr>
              <w:rPr>
                <w:rFonts w:cs="Arial"/>
              </w:rPr>
            </w:pPr>
            <w:r w:rsidRPr="00956670">
              <w:rPr>
                <w:rFonts w:cs="Arial"/>
              </w:rPr>
              <w:t>Cycle reassurance training has been offered to staff and will continue to be offered</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2C816D0F" w14:textId="77777777" w:rsidR="00956670" w:rsidRPr="00956670" w:rsidRDefault="00956670" w:rsidP="00956670">
            <w:pPr>
              <w:rPr>
                <w:rFonts w:cs="Arial"/>
              </w:rPr>
            </w:pPr>
            <w:r w:rsidRPr="00956670">
              <w:rPr>
                <w:rFonts w:cs="Arial"/>
              </w:rPr>
              <w:t>SRBC, Sports Development</w:t>
            </w:r>
          </w:p>
        </w:tc>
      </w:tr>
    </w:tbl>
    <w:p w14:paraId="2C816D11" w14:textId="77777777" w:rsidR="00956670" w:rsidRDefault="00956670" w:rsidP="00E56ABF">
      <w:pPr>
        <w:rPr>
          <w:rFonts w:cs="Arial"/>
        </w:rPr>
      </w:pPr>
    </w:p>
    <w:p w14:paraId="2C816D12" w14:textId="77777777" w:rsidR="00956670" w:rsidRDefault="00956670" w:rsidP="00E56ABF">
      <w:pPr>
        <w:rPr>
          <w:rFonts w:cs="Arial"/>
        </w:rPr>
      </w:pPr>
    </w:p>
    <w:p w14:paraId="2C816D13" w14:textId="77777777" w:rsidR="00956670" w:rsidRDefault="00956670" w:rsidP="00E56ABF">
      <w:pPr>
        <w:rPr>
          <w:rFonts w:cs="Arial"/>
        </w:rPr>
      </w:pPr>
    </w:p>
    <w:p w14:paraId="2C816D14" w14:textId="77777777" w:rsidR="00956670" w:rsidRDefault="00956670" w:rsidP="00E56ABF">
      <w:pPr>
        <w:rPr>
          <w:rFonts w:cs="Arial"/>
        </w:rPr>
      </w:pPr>
    </w:p>
    <w:p w14:paraId="2C816D15" w14:textId="77777777" w:rsidR="00956670" w:rsidRDefault="00956670" w:rsidP="00E56ABF">
      <w:pPr>
        <w:rPr>
          <w:rFonts w:cs="Arial"/>
        </w:rPr>
      </w:pPr>
    </w:p>
    <w:p w14:paraId="2C816D16" w14:textId="77777777" w:rsidR="00956670" w:rsidRDefault="00956670" w:rsidP="00E56ABF">
      <w:pPr>
        <w:rPr>
          <w:rFonts w:cs="Arial"/>
        </w:rPr>
      </w:pPr>
    </w:p>
    <w:p w14:paraId="2C816D17" w14:textId="77777777" w:rsidR="00956670" w:rsidRDefault="00956670" w:rsidP="00E56ABF">
      <w:pPr>
        <w:rPr>
          <w:rFonts w:cs="Arial"/>
        </w:rPr>
      </w:pPr>
    </w:p>
    <w:p w14:paraId="2C816D18" w14:textId="77777777" w:rsidR="00956670" w:rsidRDefault="00956670" w:rsidP="00E56ABF">
      <w:pPr>
        <w:rPr>
          <w:rFonts w:cs="Arial"/>
        </w:rPr>
      </w:pPr>
    </w:p>
    <w:p w14:paraId="2C816D19" w14:textId="77777777" w:rsidR="00956670" w:rsidRDefault="00956670" w:rsidP="00E56ABF">
      <w:pPr>
        <w:rPr>
          <w:rFonts w:cs="Arial"/>
        </w:rPr>
      </w:pPr>
    </w:p>
    <w:p w14:paraId="2C816D1A" w14:textId="77777777" w:rsidR="00956670" w:rsidRDefault="00956670" w:rsidP="00E56ABF">
      <w:pPr>
        <w:rPr>
          <w:rFonts w:cs="Arial"/>
        </w:rPr>
      </w:pPr>
    </w:p>
    <w:p w14:paraId="2C816D1B" w14:textId="77777777" w:rsidR="00956670" w:rsidRDefault="00956670" w:rsidP="00E56ABF">
      <w:pPr>
        <w:rPr>
          <w:rFonts w:cs="Arial"/>
        </w:rPr>
      </w:pPr>
    </w:p>
    <w:p w14:paraId="2C816D1C" w14:textId="77777777" w:rsidR="00956670" w:rsidRDefault="004D5836" w:rsidP="00E56ABF">
      <w:pPr>
        <w:rPr>
          <w:rFonts w:cs="Arial"/>
        </w:rPr>
      </w:pPr>
      <w:r>
        <w:rPr>
          <w:rFonts w:cs="Arial"/>
        </w:rPr>
        <w:br w:type="page"/>
      </w:r>
    </w:p>
    <w:p w14:paraId="2C816D1D" w14:textId="77777777" w:rsidR="00956670" w:rsidRDefault="00956670" w:rsidP="00E56ABF">
      <w:pPr>
        <w:rPr>
          <w:rFonts w:cs="Arial"/>
        </w:rPr>
      </w:pPr>
    </w:p>
    <w:p w14:paraId="2C816D1E" w14:textId="77777777" w:rsidR="007F2721" w:rsidRPr="007F2721" w:rsidRDefault="007F2721" w:rsidP="007F2721">
      <w:pPr>
        <w:rPr>
          <w:rFonts w:cs="Arial"/>
          <w:b/>
          <w:bCs/>
        </w:rPr>
      </w:pPr>
      <w:r w:rsidRPr="007F2721">
        <w:rPr>
          <w:rFonts w:cs="Arial"/>
          <w:b/>
        </w:rPr>
        <w:t xml:space="preserve">Appendix C </w:t>
      </w:r>
      <w:r w:rsidRPr="007F2721">
        <w:rPr>
          <w:rFonts w:cs="Arial"/>
          <w:b/>
          <w:bCs/>
        </w:rPr>
        <w:t xml:space="preserve">Table details those identified measures which are in the process of being competed. </w:t>
      </w:r>
    </w:p>
    <w:p w14:paraId="2C816D1F" w14:textId="77777777" w:rsidR="007F2721" w:rsidRDefault="007F2721" w:rsidP="007F2721">
      <w:pPr>
        <w:rPr>
          <w:rFonts w:cs="Arial"/>
        </w:rPr>
      </w:pPr>
    </w:p>
    <w:p w14:paraId="2C816D20" w14:textId="77777777" w:rsidR="004D5836" w:rsidRDefault="004D5836" w:rsidP="007F2721">
      <w:pPr>
        <w:rPr>
          <w:rFonts w:cs="Arial"/>
        </w:rPr>
      </w:pPr>
    </w:p>
    <w:p w14:paraId="2C816D21" w14:textId="77777777" w:rsidR="004D5836" w:rsidRPr="007F2721" w:rsidRDefault="004D5836" w:rsidP="007F2721">
      <w:pPr>
        <w:rPr>
          <w:rFonts w:cs="Arial"/>
        </w:rPr>
        <w:sectPr w:rsidR="004D5836" w:rsidRPr="007F2721" w:rsidSect="009A064D">
          <w:footerReference w:type="default" r:id="rId14"/>
          <w:pgSz w:w="11906" w:h="16838" w:code="9"/>
          <w:pgMar w:top="720" w:right="720" w:bottom="720" w:left="720" w:header="964" w:footer="454" w:gutter="0"/>
          <w:cols w:space="708"/>
          <w:docGrid w:linePitch="360"/>
        </w:sectPr>
      </w:pPr>
    </w:p>
    <w:tbl>
      <w:tblPr>
        <w:tblW w:w="10354" w:type="dxa"/>
        <w:tblInd w:w="-294" w:type="dxa"/>
        <w:tblLayout w:type="fixed"/>
        <w:tblLook w:val="04A0" w:firstRow="1" w:lastRow="0" w:firstColumn="1" w:lastColumn="0" w:noHBand="0" w:noVBand="1"/>
      </w:tblPr>
      <w:tblGrid>
        <w:gridCol w:w="822"/>
        <w:gridCol w:w="2864"/>
        <w:gridCol w:w="4825"/>
        <w:gridCol w:w="1843"/>
      </w:tblGrid>
      <w:tr w:rsidR="004D5836" w:rsidRPr="004D5836" w14:paraId="2C816D26" w14:textId="77777777" w:rsidTr="00D52E5D">
        <w:trPr>
          <w:trHeight w:val="1529"/>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22" w14:textId="77777777" w:rsidR="004D5836" w:rsidRPr="004D5836" w:rsidRDefault="004D5836" w:rsidP="004D5836">
            <w:pPr>
              <w:rPr>
                <w:rFonts w:cs="Arial"/>
              </w:rPr>
            </w:pPr>
            <w:r w:rsidRPr="004D5836">
              <w:rPr>
                <w:rFonts w:cs="Arial"/>
              </w:rPr>
              <w:t>1</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23" w14:textId="77777777" w:rsidR="004D5836" w:rsidRPr="004D5836" w:rsidRDefault="004D5836" w:rsidP="00D52E5D">
            <w:pPr>
              <w:rPr>
                <w:rFonts w:cs="Arial"/>
                <w:b/>
              </w:rPr>
            </w:pPr>
            <w:r w:rsidRPr="004D5836">
              <w:rPr>
                <w:rFonts w:cs="Arial"/>
                <w:b/>
              </w:rPr>
              <w:t>To publicise and encourage the use of the Lancashire based Air Quality Guidance Document for Developers</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24" w14:textId="77777777" w:rsidR="004D5836" w:rsidRPr="004D5836" w:rsidRDefault="004D5836" w:rsidP="00D52E5D">
            <w:pPr>
              <w:rPr>
                <w:rFonts w:cs="Arial"/>
              </w:rPr>
            </w:pPr>
            <w:r w:rsidRPr="004D5836">
              <w:rPr>
                <w:rFonts w:cs="Arial"/>
              </w:rPr>
              <w:t>When EH are contacted by consultants they are asked to use the guidance document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25" w14:textId="77777777" w:rsidR="004D5836" w:rsidRPr="004D5836" w:rsidRDefault="004D5836" w:rsidP="004D5836">
            <w:pPr>
              <w:rPr>
                <w:rFonts w:cs="Arial"/>
              </w:rPr>
            </w:pPr>
            <w:r w:rsidRPr="004D5836">
              <w:rPr>
                <w:rFonts w:cs="Arial"/>
              </w:rPr>
              <w:t>SRBC Env. Health /Planning</w:t>
            </w:r>
          </w:p>
        </w:tc>
      </w:tr>
      <w:tr w:rsidR="004D5836" w:rsidRPr="004D5836" w14:paraId="2C816D2B" w14:textId="77777777" w:rsidTr="00D52E5D">
        <w:trPr>
          <w:trHeight w:val="1535"/>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27" w14:textId="77777777" w:rsidR="004D5836" w:rsidRPr="004D5836" w:rsidRDefault="004D5836" w:rsidP="004D5836">
            <w:pPr>
              <w:rPr>
                <w:rFonts w:cs="Arial"/>
              </w:rPr>
            </w:pPr>
            <w:r w:rsidRPr="004D5836">
              <w:rPr>
                <w:rFonts w:cs="Arial"/>
              </w:rPr>
              <w:t>2</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28" w14:textId="77777777" w:rsidR="004D5836" w:rsidRPr="004D5836" w:rsidRDefault="004D5836" w:rsidP="00D52E5D">
            <w:pPr>
              <w:rPr>
                <w:rFonts w:cs="Arial"/>
                <w:b/>
              </w:rPr>
            </w:pPr>
            <w:r w:rsidRPr="004D5836">
              <w:rPr>
                <w:rFonts w:cs="Arial"/>
                <w:b/>
              </w:rPr>
              <w:t>To include the above air quality guidance document within the revised Central Lancashire Core Strategy</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29" w14:textId="77777777" w:rsidR="004D5836" w:rsidRPr="004D5836" w:rsidRDefault="004D5836" w:rsidP="00D52E5D">
            <w:pPr>
              <w:rPr>
                <w:rFonts w:cs="Arial"/>
              </w:rPr>
            </w:pPr>
            <w:r w:rsidRPr="004D5836">
              <w:rPr>
                <w:rFonts w:cs="Arial"/>
              </w:rPr>
              <w:t>Work on the revised Core Strategy</w:t>
            </w:r>
            <w:r w:rsidR="003A2003">
              <w:rPr>
                <w:rFonts w:cs="Arial"/>
              </w:rPr>
              <w:t xml:space="preserve"> has started.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2A" w14:textId="77777777" w:rsidR="004D5836" w:rsidRPr="004D5836" w:rsidRDefault="004D5836" w:rsidP="004D5836">
            <w:pPr>
              <w:rPr>
                <w:rFonts w:cs="Arial"/>
              </w:rPr>
            </w:pPr>
            <w:r w:rsidRPr="004D5836">
              <w:rPr>
                <w:rFonts w:cs="Arial"/>
              </w:rPr>
              <w:t>Central Lancs, SRBC, Planning, Env. Health</w:t>
            </w:r>
          </w:p>
        </w:tc>
      </w:tr>
      <w:tr w:rsidR="004D5836" w:rsidRPr="004D5836" w14:paraId="2C816D31" w14:textId="77777777" w:rsidTr="00D52E5D">
        <w:trPr>
          <w:trHeight w:val="1983"/>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2C" w14:textId="77777777" w:rsidR="004D5836" w:rsidRPr="004D5836" w:rsidRDefault="004D5836" w:rsidP="004D5836">
            <w:pPr>
              <w:rPr>
                <w:rFonts w:cs="Arial"/>
              </w:rPr>
            </w:pPr>
            <w:r w:rsidRPr="004D5836">
              <w:rPr>
                <w:rFonts w:cs="Arial"/>
              </w:rPr>
              <w:t>3</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2D" w14:textId="77777777" w:rsidR="004D5836" w:rsidRPr="004D5836" w:rsidRDefault="004D5836" w:rsidP="00D52E5D">
            <w:pPr>
              <w:rPr>
                <w:rFonts w:cs="Arial"/>
                <w:b/>
              </w:rPr>
            </w:pPr>
            <w:r w:rsidRPr="004D5836">
              <w:rPr>
                <w:rFonts w:cs="Arial"/>
                <w:b/>
              </w:rPr>
              <w:t>Securing four major road developments identified within the Lancashire County Council ‘Central Lancashire Highways and Transport Masterplan’</w:t>
            </w:r>
          </w:p>
          <w:p w14:paraId="2C816D2E" w14:textId="77777777" w:rsidR="004D5836" w:rsidRPr="004D5836" w:rsidRDefault="004D5836" w:rsidP="00D52E5D">
            <w:pPr>
              <w:rPr>
                <w:rFonts w:cs="Arial"/>
                <w:b/>
              </w:rPr>
            </w:pP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2F" w14:textId="77777777" w:rsidR="004D5836" w:rsidRPr="004D5836" w:rsidRDefault="004D5836" w:rsidP="00D52E5D">
            <w:pPr>
              <w:rPr>
                <w:rFonts w:cs="Arial"/>
              </w:rPr>
            </w:pPr>
            <w:r w:rsidRPr="004D5836">
              <w:rPr>
                <w:rFonts w:cs="Arial"/>
              </w:rPr>
              <w:t xml:space="preserve">Work is underway on securing these road improvements and include, ‘The Cawsey’ link Road, Penwortham By-pass, both of which are almost complete.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30" w14:textId="77777777" w:rsidR="004D5836" w:rsidRPr="004D5836" w:rsidRDefault="004D5836" w:rsidP="004D5836">
            <w:pPr>
              <w:rPr>
                <w:rFonts w:cs="Arial"/>
              </w:rPr>
            </w:pPr>
            <w:r w:rsidRPr="004D5836">
              <w:rPr>
                <w:rFonts w:cs="Arial"/>
              </w:rPr>
              <w:t>LCC Highways</w:t>
            </w:r>
          </w:p>
        </w:tc>
      </w:tr>
      <w:tr w:rsidR="004D5836" w:rsidRPr="004D5836" w14:paraId="2C816D37" w14:textId="77777777" w:rsidTr="00D52E5D">
        <w:trPr>
          <w:trHeight w:val="1232"/>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32" w14:textId="77777777" w:rsidR="004D5836" w:rsidRPr="004D5836" w:rsidRDefault="004D5836" w:rsidP="004D5836">
            <w:pPr>
              <w:rPr>
                <w:rFonts w:cs="Arial"/>
              </w:rPr>
            </w:pPr>
            <w:r w:rsidRPr="004D5836">
              <w:rPr>
                <w:rFonts w:cs="Arial"/>
              </w:rPr>
              <w:t>4</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33" w14:textId="77777777" w:rsidR="004D5836" w:rsidRPr="004D5836" w:rsidRDefault="004D5836" w:rsidP="00D52E5D">
            <w:pPr>
              <w:rPr>
                <w:rFonts w:cs="Arial"/>
                <w:b/>
              </w:rPr>
            </w:pPr>
            <w:r w:rsidRPr="004D5836">
              <w:rPr>
                <w:rFonts w:cs="Arial"/>
                <w:b/>
              </w:rPr>
              <w:t>To investigate the provision of a link road between Centurion Way and Tomlinson Road</w:t>
            </w:r>
          </w:p>
          <w:p w14:paraId="2C816D34" w14:textId="77777777" w:rsidR="004D5836" w:rsidRPr="004D5836" w:rsidRDefault="004D5836" w:rsidP="00D52E5D">
            <w:pPr>
              <w:rPr>
                <w:rFonts w:cs="Arial"/>
                <w:b/>
              </w:rPr>
            </w:pP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35" w14:textId="77777777" w:rsidR="004D5836" w:rsidRPr="004D5836" w:rsidRDefault="003A2003" w:rsidP="00D52E5D">
            <w:pPr>
              <w:rPr>
                <w:rFonts w:cs="Arial"/>
              </w:rPr>
            </w:pPr>
            <w:r>
              <w:rPr>
                <w:rFonts w:cs="Arial"/>
              </w:rPr>
              <w:t>Investigation ongoing.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36" w14:textId="77777777" w:rsidR="004D5836" w:rsidRPr="004D5836" w:rsidRDefault="004D5836" w:rsidP="004D5836">
            <w:pPr>
              <w:rPr>
                <w:rFonts w:cs="Arial"/>
              </w:rPr>
            </w:pPr>
            <w:r w:rsidRPr="004D5836">
              <w:rPr>
                <w:rFonts w:cs="Arial"/>
              </w:rPr>
              <w:t>SRBC</w:t>
            </w:r>
          </w:p>
        </w:tc>
      </w:tr>
      <w:tr w:rsidR="004D5836" w:rsidRPr="004D5836" w14:paraId="2C816D3D" w14:textId="77777777" w:rsidTr="00D52E5D">
        <w:trPr>
          <w:trHeight w:val="1661"/>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38" w14:textId="77777777" w:rsidR="004D5836" w:rsidRPr="004D5836" w:rsidRDefault="004D5836" w:rsidP="004D5836">
            <w:pPr>
              <w:rPr>
                <w:rFonts w:cs="Arial"/>
              </w:rPr>
            </w:pPr>
            <w:r w:rsidRPr="004D5836">
              <w:rPr>
                <w:rFonts w:cs="Arial"/>
              </w:rPr>
              <w:t>5</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39" w14:textId="77777777" w:rsidR="004D5836" w:rsidRPr="004D5836" w:rsidRDefault="004D5836" w:rsidP="00D52E5D">
            <w:pPr>
              <w:rPr>
                <w:rFonts w:cs="Arial"/>
                <w:b/>
              </w:rPr>
            </w:pPr>
            <w:r w:rsidRPr="004D5836">
              <w:rPr>
                <w:rFonts w:cs="Arial"/>
                <w:b/>
              </w:rPr>
              <w:t>Look to improve signage to re-direct HGV traffic away from areas of poor air quality</w:t>
            </w:r>
          </w:p>
          <w:p w14:paraId="2C816D3A" w14:textId="77777777" w:rsidR="004D5836" w:rsidRPr="004D5836" w:rsidRDefault="004D5836" w:rsidP="00D52E5D">
            <w:pPr>
              <w:rPr>
                <w:rFonts w:cs="Arial"/>
                <w:b/>
              </w:rPr>
            </w:pP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3B" w14:textId="77777777" w:rsidR="004D5836" w:rsidRPr="004D5836" w:rsidRDefault="004D5836" w:rsidP="00D52E5D">
            <w:pPr>
              <w:rPr>
                <w:rFonts w:cs="Arial"/>
              </w:rPr>
            </w:pPr>
            <w:r w:rsidRPr="004D5836">
              <w:rPr>
                <w:rFonts w:cs="Arial"/>
              </w:rPr>
              <w:t>Funding has been sourced and a suitable location for signage within the Leyland AQMA identified, However further work is required with LCC Highways as the land owned by SRBC falls under the jurisdiction of the Highways authority as an adopted road.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3C" w14:textId="77777777" w:rsidR="004D5836" w:rsidRPr="004D5836" w:rsidRDefault="004D5836" w:rsidP="004D5836">
            <w:pPr>
              <w:rPr>
                <w:rFonts w:cs="Arial"/>
              </w:rPr>
            </w:pPr>
            <w:r w:rsidRPr="004D5836">
              <w:rPr>
                <w:rFonts w:cs="Arial"/>
              </w:rPr>
              <w:t>Env. Health</w:t>
            </w:r>
          </w:p>
        </w:tc>
      </w:tr>
      <w:tr w:rsidR="004D5836" w:rsidRPr="004D5836" w14:paraId="2C816D43" w14:textId="77777777" w:rsidTr="00D52E5D">
        <w:trPr>
          <w:trHeight w:val="1388"/>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3E" w14:textId="77777777" w:rsidR="004D5836" w:rsidRPr="004D5836" w:rsidRDefault="004D5836" w:rsidP="004D5836">
            <w:pPr>
              <w:rPr>
                <w:rFonts w:cs="Arial"/>
              </w:rPr>
            </w:pPr>
            <w:r w:rsidRPr="004D5836">
              <w:rPr>
                <w:rFonts w:cs="Arial"/>
              </w:rPr>
              <w:t>6</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3F" w14:textId="77777777" w:rsidR="004D5836" w:rsidRPr="004D5836" w:rsidRDefault="004D5836" w:rsidP="00D52E5D">
            <w:pPr>
              <w:rPr>
                <w:rFonts w:cs="Arial"/>
                <w:b/>
              </w:rPr>
            </w:pPr>
            <w:r w:rsidRPr="004D5836">
              <w:rPr>
                <w:rFonts w:cs="Arial"/>
                <w:b/>
              </w:rPr>
              <w:t>Improve the cycle infrastructure within the borough, especially along routes to schools and employment sites</w:t>
            </w:r>
          </w:p>
          <w:p w14:paraId="2C816D40" w14:textId="77777777" w:rsidR="004D5836" w:rsidRPr="004D5836" w:rsidRDefault="004D5836" w:rsidP="00D52E5D">
            <w:pPr>
              <w:rPr>
                <w:rFonts w:cs="Arial"/>
                <w:b/>
              </w:rPr>
            </w:pP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41" w14:textId="77777777" w:rsidR="004D5836" w:rsidRPr="004D5836" w:rsidRDefault="004D5836" w:rsidP="00D52E5D">
            <w:pPr>
              <w:rPr>
                <w:rFonts w:cs="Arial"/>
              </w:rPr>
            </w:pPr>
            <w:r w:rsidRPr="004D5836">
              <w:rPr>
                <w:rFonts w:cs="Arial"/>
              </w:rPr>
              <w:t xml:space="preserve">Work is ongoing on the Leyland Loop to provide additional safe cycle routes.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42" w14:textId="77777777" w:rsidR="004D5836" w:rsidRPr="004D5836" w:rsidRDefault="004D5836" w:rsidP="004D5836">
            <w:pPr>
              <w:rPr>
                <w:rFonts w:cs="Arial"/>
              </w:rPr>
            </w:pPr>
            <w:r w:rsidRPr="004D5836">
              <w:rPr>
                <w:rFonts w:cs="Arial"/>
              </w:rPr>
              <w:t>SRBC</w:t>
            </w:r>
          </w:p>
        </w:tc>
      </w:tr>
    </w:tbl>
    <w:p w14:paraId="2C816D44" w14:textId="77777777" w:rsidR="00D52E5D" w:rsidRDefault="00D52E5D">
      <w:r>
        <w:br w:type="page"/>
      </w:r>
    </w:p>
    <w:tbl>
      <w:tblPr>
        <w:tblW w:w="10354" w:type="dxa"/>
        <w:tblInd w:w="-294" w:type="dxa"/>
        <w:tblLayout w:type="fixed"/>
        <w:tblLook w:val="04A0" w:firstRow="1" w:lastRow="0" w:firstColumn="1" w:lastColumn="0" w:noHBand="0" w:noVBand="1"/>
      </w:tblPr>
      <w:tblGrid>
        <w:gridCol w:w="822"/>
        <w:gridCol w:w="2864"/>
        <w:gridCol w:w="4825"/>
        <w:gridCol w:w="1843"/>
      </w:tblGrid>
      <w:tr w:rsidR="004D5836" w:rsidRPr="004D5836" w14:paraId="2C816D4F" w14:textId="77777777" w:rsidTr="00D52E5D">
        <w:trPr>
          <w:trHeight w:val="2715"/>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45" w14:textId="77777777" w:rsidR="004D5836" w:rsidRPr="004D5836" w:rsidRDefault="004D5836" w:rsidP="004D5836">
            <w:pPr>
              <w:rPr>
                <w:rFonts w:cs="Arial"/>
              </w:rPr>
            </w:pPr>
            <w:r w:rsidRPr="004D5836">
              <w:rPr>
                <w:rFonts w:cs="Arial"/>
              </w:rPr>
              <w:lastRenderedPageBreak/>
              <w:t>7</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46" w14:textId="77777777" w:rsidR="004D5836" w:rsidRPr="004D5836" w:rsidRDefault="004D5836" w:rsidP="00D52E5D">
            <w:pPr>
              <w:rPr>
                <w:rFonts w:cs="Arial"/>
                <w:b/>
              </w:rPr>
            </w:pPr>
            <w:r w:rsidRPr="004D5836">
              <w:rPr>
                <w:rFonts w:cs="Arial"/>
                <w:b/>
              </w:rPr>
              <w:t>Improve the electric vehicle infrastructure across the borough</w:t>
            </w:r>
          </w:p>
          <w:p w14:paraId="2C816D47" w14:textId="77777777" w:rsidR="004D5836" w:rsidRPr="004D5836" w:rsidRDefault="004D5836" w:rsidP="00D52E5D">
            <w:pPr>
              <w:rPr>
                <w:rFonts w:cs="Arial"/>
                <w:b/>
              </w:rPr>
            </w:pP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48" w14:textId="77777777" w:rsidR="004D5836" w:rsidRPr="004D5836" w:rsidRDefault="004D5836" w:rsidP="00D52E5D">
            <w:pPr>
              <w:rPr>
                <w:rFonts w:cs="Arial"/>
              </w:rPr>
            </w:pPr>
            <w:r w:rsidRPr="004D5836">
              <w:rPr>
                <w:rFonts w:cs="Arial"/>
              </w:rPr>
              <w:t>A number of bids have been submitted to Defra for funding. We have in conjunction with 5 other Lancashire authorities secured over £600,000 to provide electric vehicle charging points for taxis.</w:t>
            </w:r>
          </w:p>
          <w:p w14:paraId="2C816D49" w14:textId="77777777" w:rsidR="004D5836" w:rsidRPr="004D5836" w:rsidRDefault="004D5836" w:rsidP="00D52E5D">
            <w:pPr>
              <w:rPr>
                <w:rFonts w:cs="Arial"/>
              </w:rPr>
            </w:pPr>
            <w:r w:rsidRPr="004D5836">
              <w:rPr>
                <w:rFonts w:cs="Arial"/>
              </w:rPr>
              <w:t xml:space="preserve">The Council have joined up with Electric Blue to undertake an Evolve programme to identify where EVR points are required for taxis. The project involves fitting black boxes to taxis to monitor their locations. Drivers are given information on how much they could save by ‘going electric’ while the authority obtains details on where to locate recharging points. </w:t>
            </w:r>
          </w:p>
          <w:p w14:paraId="2C816D4A" w14:textId="77777777" w:rsidR="004D5836" w:rsidRPr="004D5836" w:rsidRDefault="004D5836" w:rsidP="00D52E5D">
            <w:pPr>
              <w:rPr>
                <w:rFonts w:cs="Arial"/>
              </w:rPr>
            </w:pPr>
            <w:r w:rsidRPr="004D5836">
              <w:rPr>
                <w:rFonts w:cs="Arial"/>
              </w:rPr>
              <w:t>The authority is working with ‘Charge my Street’ who aim to secure community lead funding to provide charging infrastructure within areas of residential properties that only have on-street parking provision.</w:t>
            </w:r>
          </w:p>
          <w:p w14:paraId="2C816D4B" w14:textId="77777777" w:rsidR="004D5836" w:rsidRPr="004D5836" w:rsidRDefault="004D5836" w:rsidP="00D52E5D">
            <w:pPr>
              <w:rPr>
                <w:rFonts w:cs="Arial"/>
              </w:rPr>
            </w:pPr>
            <w:r w:rsidRPr="004D5836">
              <w:rPr>
                <w:rFonts w:cs="Arial"/>
              </w:rPr>
              <w:t>LCC have secured funding to provide EVR points across the county and South Ribble will be receiving 4 of these.</w:t>
            </w:r>
          </w:p>
          <w:p w14:paraId="2C816D4C" w14:textId="77777777" w:rsidR="004D5836" w:rsidRPr="004D5836" w:rsidRDefault="004D5836" w:rsidP="00D52E5D">
            <w:pPr>
              <w:rPr>
                <w:rFonts w:cs="Arial"/>
              </w:rPr>
            </w:pPr>
            <w:r w:rsidRPr="004D5836">
              <w:rPr>
                <w:rFonts w:cs="Arial"/>
              </w:rPr>
              <w:t>EVR points are being requested on all relevant planning applications.</w:t>
            </w:r>
          </w:p>
          <w:p w14:paraId="2C816D4D" w14:textId="77777777" w:rsidR="004D5836" w:rsidRPr="004D5836" w:rsidRDefault="004D5836" w:rsidP="00D52E5D">
            <w:pPr>
              <w:rPr>
                <w:rFonts w:cs="Arial"/>
              </w:rPr>
            </w:pPr>
            <w:r w:rsidRPr="004D5836">
              <w:rPr>
                <w:rFonts w:cs="Arial"/>
              </w:rPr>
              <w:t>Electric Vehicle recharge points are to be installed at the Civic Centre and Moss Side Depot, for use by staff and the public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4E" w14:textId="77777777" w:rsidR="004D5836" w:rsidRPr="004D5836" w:rsidRDefault="004D5836" w:rsidP="004D5836">
            <w:pPr>
              <w:rPr>
                <w:rFonts w:cs="Arial"/>
              </w:rPr>
            </w:pPr>
            <w:r w:rsidRPr="004D5836">
              <w:rPr>
                <w:rFonts w:cs="Arial"/>
              </w:rPr>
              <w:t>SRBC, Planning, Env. Health, Neighbourhoods,</w:t>
            </w:r>
          </w:p>
        </w:tc>
      </w:tr>
      <w:tr w:rsidR="004D5836" w:rsidRPr="004D5836" w14:paraId="2C816D55" w14:textId="77777777" w:rsidTr="00D52E5D">
        <w:trPr>
          <w:trHeight w:val="1217"/>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50" w14:textId="77777777" w:rsidR="004D5836" w:rsidRPr="004D5836" w:rsidRDefault="004D5836" w:rsidP="004D5836">
            <w:pPr>
              <w:rPr>
                <w:rFonts w:cs="Arial"/>
              </w:rPr>
            </w:pPr>
            <w:r w:rsidRPr="004D5836">
              <w:rPr>
                <w:rFonts w:cs="Arial"/>
              </w:rPr>
              <w:t>8</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51" w14:textId="77777777" w:rsidR="004D5836" w:rsidRPr="004D5836" w:rsidRDefault="004D5836" w:rsidP="00D52E5D">
            <w:pPr>
              <w:rPr>
                <w:rFonts w:cs="Arial"/>
                <w:b/>
              </w:rPr>
            </w:pPr>
            <w:r w:rsidRPr="004D5836">
              <w:rPr>
                <w:rFonts w:cs="Arial"/>
                <w:b/>
              </w:rPr>
              <w:t>Provide electric vehicle charging points on council owned car parks and buildings</w:t>
            </w:r>
          </w:p>
          <w:p w14:paraId="2C816D52" w14:textId="77777777" w:rsidR="004D5836" w:rsidRPr="004D5836" w:rsidRDefault="004D5836" w:rsidP="00D52E5D">
            <w:pPr>
              <w:rPr>
                <w:rFonts w:cs="Arial"/>
                <w:b/>
              </w:rPr>
            </w:pP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53" w14:textId="77777777" w:rsidR="004D5836" w:rsidRPr="004D5836" w:rsidRDefault="004D5836" w:rsidP="00D52E5D">
            <w:pPr>
              <w:rPr>
                <w:rFonts w:cs="Arial"/>
              </w:rPr>
            </w:pPr>
            <w:r w:rsidRPr="004D5836">
              <w:rPr>
                <w:rFonts w:cs="Arial"/>
              </w:rPr>
              <w:t>See Above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54" w14:textId="77777777" w:rsidR="004D5836" w:rsidRPr="004D5836" w:rsidRDefault="004D5836" w:rsidP="004D5836">
            <w:pPr>
              <w:rPr>
                <w:rFonts w:cs="Arial"/>
              </w:rPr>
            </w:pPr>
            <w:r w:rsidRPr="004D5836">
              <w:rPr>
                <w:rFonts w:cs="Arial"/>
              </w:rPr>
              <w:t>SRBC, Neighbourhoods</w:t>
            </w:r>
          </w:p>
        </w:tc>
      </w:tr>
      <w:tr w:rsidR="004D5836" w:rsidRPr="004D5836" w14:paraId="2C816D5B" w14:textId="77777777" w:rsidTr="00D52E5D">
        <w:trPr>
          <w:trHeight w:val="1364"/>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56" w14:textId="77777777" w:rsidR="004D5836" w:rsidRPr="004D5836" w:rsidRDefault="004D5836" w:rsidP="004D5836">
            <w:pPr>
              <w:rPr>
                <w:rFonts w:cs="Arial"/>
              </w:rPr>
            </w:pPr>
            <w:r w:rsidRPr="004D5836">
              <w:rPr>
                <w:rFonts w:cs="Arial"/>
              </w:rPr>
              <w:t>9</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57" w14:textId="77777777" w:rsidR="004D5836" w:rsidRPr="004D5836" w:rsidRDefault="004D5836" w:rsidP="00D52E5D">
            <w:pPr>
              <w:rPr>
                <w:rFonts w:cs="Arial"/>
                <w:b/>
              </w:rPr>
            </w:pPr>
            <w:r w:rsidRPr="004D5836">
              <w:rPr>
                <w:rFonts w:cs="Arial"/>
                <w:b/>
              </w:rPr>
              <w:t>Anti-Idling Campaign in declared AQMA’s and outside schools, colleges and leisure centres</w:t>
            </w:r>
          </w:p>
          <w:p w14:paraId="2C816D58" w14:textId="77777777" w:rsidR="004D5836" w:rsidRPr="004D5836" w:rsidRDefault="004D5836" w:rsidP="00D52E5D">
            <w:pPr>
              <w:rPr>
                <w:rFonts w:cs="Arial"/>
                <w:b/>
              </w:rPr>
            </w:pP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59" w14:textId="77777777" w:rsidR="004D5836" w:rsidRPr="004D5836" w:rsidRDefault="004D5836" w:rsidP="00E1420C">
            <w:pPr>
              <w:rPr>
                <w:rFonts w:cs="Arial"/>
              </w:rPr>
            </w:pPr>
            <w:r w:rsidRPr="004D5836">
              <w:rPr>
                <w:rFonts w:cs="Arial"/>
              </w:rPr>
              <w:t>Advertising literature has been designed and purchased, schools are to be contacted by the end of March. Officers have been authorised.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5A" w14:textId="77777777" w:rsidR="004D5836" w:rsidRPr="004D5836" w:rsidRDefault="004D5836" w:rsidP="004D5836">
            <w:pPr>
              <w:rPr>
                <w:rFonts w:cs="Arial"/>
              </w:rPr>
            </w:pPr>
            <w:r w:rsidRPr="004D5836">
              <w:rPr>
                <w:rFonts w:cs="Arial"/>
              </w:rPr>
              <w:t>SRBC, Env. Heath</w:t>
            </w:r>
          </w:p>
        </w:tc>
      </w:tr>
      <w:tr w:rsidR="004D5836" w:rsidRPr="004D5836" w14:paraId="2C816D61" w14:textId="77777777" w:rsidTr="00D52E5D">
        <w:trPr>
          <w:trHeight w:val="1116"/>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5C" w14:textId="77777777" w:rsidR="004D5836" w:rsidRPr="004D5836" w:rsidRDefault="004D5836" w:rsidP="004D5836">
            <w:pPr>
              <w:rPr>
                <w:rFonts w:cs="Arial"/>
              </w:rPr>
            </w:pPr>
            <w:r w:rsidRPr="004D5836">
              <w:rPr>
                <w:rFonts w:cs="Arial"/>
              </w:rPr>
              <w:t>10</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5D" w14:textId="77777777" w:rsidR="004D5836" w:rsidRPr="004D5836" w:rsidRDefault="004D5836" w:rsidP="00D52E5D">
            <w:pPr>
              <w:rPr>
                <w:rFonts w:cs="Arial"/>
                <w:b/>
              </w:rPr>
            </w:pPr>
            <w:r w:rsidRPr="004D5836">
              <w:rPr>
                <w:rFonts w:cs="Arial"/>
                <w:b/>
              </w:rPr>
              <w:t>Work with taxi firms to encourage the uptake of low emission vehicles (Electric)</w:t>
            </w:r>
          </w:p>
          <w:p w14:paraId="2C816D5E" w14:textId="77777777" w:rsidR="004D5836" w:rsidRPr="004D5836" w:rsidRDefault="004D5836" w:rsidP="00D52E5D">
            <w:pPr>
              <w:rPr>
                <w:rFonts w:cs="Arial"/>
                <w:b/>
              </w:rPr>
            </w:pP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5F" w14:textId="77777777" w:rsidR="004D5836" w:rsidRPr="004D5836" w:rsidRDefault="004D5836" w:rsidP="00D52E5D">
            <w:pPr>
              <w:rPr>
                <w:rFonts w:cs="Arial"/>
              </w:rPr>
            </w:pPr>
            <w:r w:rsidRPr="004D5836">
              <w:rPr>
                <w:rFonts w:cs="Arial"/>
              </w:rPr>
              <w:t>See above re evolve programme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60" w14:textId="77777777" w:rsidR="004D5836" w:rsidRPr="004D5836" w:rsidRDefault="004D5836" w:rsidP="004D5836">
            <w:pPr>
              <w:rPr>
                <w:rFonts w:cs="Arial"/>
              </w:rPr>
            </w:pPr>
            <w:r w:rsidRPr="004D5836">
              <w:rPr>
                <w:rFonts w:cs="Arial"/>
              </w:rPr>
              <w:t>SRBC&lt; Env. Health</w:t>
            </w:r>
          </w:p>
        </w:tc>
      </w:tr>
      <w:tr w:rsidR="004D5836" w:rsidRPr="004D5836" w14:paraId="2C816D67" w14:textId="77777777" w:rsidTr="00D52E5D">
        <w:trPr>
          <w:trHeight w:val="1957"/>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62" w14:textId="77777777" w:rsidR="004D5836" w:rsidRPr="004D5836" w:rsidRDefault="004D5836" w:rsidP="004D5836">
            <w:pPr>
              <w:rPr>
                <w:rFonts w:cs="Arial"/>
              </w:rPr>
            </w:pPr>
            <w:r w:rsidRPr="004D5836">
              <w:rPr>
                <w:rFonts w:cs="Arial"/>
              </w:rPr>
              <w:t>11</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63" w14:textId="77777777" w:rsidR="004D5836" w:rsidRPr="004D5836" w:rsidRDefault="004D5836" w:rsidP="00D52E5D">
            <w:pPr>
              <w:rPr>
                <w:rFonts w:cs="Arial"/>
                <w:b/>
              </w:rPr>
            </w:pPr>
            <w:r w:rsidRPr="004D5836">
              <w:rPr>
                <w:rFonts w:cs="Arial"/>
                <w:b/>
              </w:rPr>
              <w:t>Further reduce the age limit of taxis within the borough</w:t>
            </w:r>
          </w:p>
          <w:p w14:paraId="2C816D64" w14:textId="77777777" w:rsidR="004D5836" w:rsidRPr="004D5836" w:rsidRDefault="004D5836" w:rsidP="00D52E5D">
            <w:pPr>
              <w:rPr>
                <w:rFonts w:cs="Arial"/>
                <w:b/>
              </w:rPr>
            </w:pP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65" w14:textId="77777777" w:rsidR="004D5836" w:rsidRPr="004D5836" w:rsidRDefault="004D5836" w:rsidP="00D52E5D">
            <w:pPr>
              <w:rPr>
                <w:rFonts w:cs="Arial"/>
              </w:rPr>
            </w:pPr>
            <w:r w:rsidRPr="004D5836">
              <w:rPr>
                <w:rFonts w:cs="Arial"/>
              </w:rPr>
              <w:t>County wide suggested policy being developed. This has been drawn up between the six authorities who have successfully made a bid to DEFRA, Public Health Lancashire and LCC Highways. The suggested policy improvements have been presented to the Lancashire Licensing Group for consideration.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66" w14:textId="77777777" w:rsidR="004D5836" w:rsidRPr="004D5836" w:rsidRDefault="004D5836" w:rsidP="004D5836">
            <w:pPr>
              <w:rPr>
                <w:rFonts w:cs="Arial"/>
              </w:rPr>
            </w:pPr>
            <w:r w:rsidRPr="004D5836">
              <w:rPr>
                <w:rFonts w:cs="Arial"/>
              </w:rPr>
              <w:t>EHL, AQ sub-group, SRBC, Env Health/Licensing</w:t>
            </w:r>
          </w:p>
        </w:tc>
      </w:tr>
      <w:tr w:rsidR="004D5836" w:rsidRPr="004D5836" w14:paraId="2C816D6D" w14:textId="77777777" w:rsidTr="00D52E5D">
        <w:trPr>
          <w:trHeight w:val="1134"/>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68" w14:textId="77777777" w:rsidR="004D5836" w:rsidRPr="004D5836" w:rsidRDefault="004D5836" w:rsidP="004D5836">
            <w:pPr>
              <w:rPr>
                <w:rFonts w:cs="Arial"/>
              </w:rPr>
            </w:pPr>
            <w:r w:rsidRPr="004D5836">
              <w:rPr>
                <w:rFonts w:cs="Arial"/>
              </w:rPr>
              <w:t>12</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69" w14:textId="77777777" w:rsidR="004D5836" w:rsidRPr="004D5836" w:rsidRDefault="004D5836" w:rsidP="00D52E5D">
            <w:pPr>
              <w:rPr>
                <w:rFonts w:cs="Arial"/>
                <w:b/>
              </w:rPr>
            </w:pPr>
            <w:r w:rsidRPr="004D5836">
              <w:rPr>
                <w:rFonts w:cs="Arial"/>
                <w:b/>
              </w:rPr>
              <w:t>Stop taxis and buses idling within AQMA’s and outside schools &amp; Colleges</w:t>
            </w:r>
          </w:p>
          <w:p w14:paraId="2C816D6A" w14:textId="77777777" w:rsidR="004D5836" w:rsidRPr="004D5836" w:rsidRDefault="004D5836" w:rsidP="00D52E5D">
            <w:pPr>
              <w:rPr>
                <w:rFonts w:cs="Arial"/>
                <w:b/>
              </w:rPr>
            </w:pP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6B" w14:textId="77777777" w:rsidR="004D5836" w:rsidRPr="004D5836" w:rsidRDefault="004D5836" w:rsidP="00D52E5D">
            <w:pPr>
              <w:rPr>
                <w:rFonts w:cs="Arial"/>
              </w:rPr>
            </w:pPr>
            <w:r w:rsidRPr="004D5836">
              <w:rPr>
                <w:rFonts w:cs="Arial"/>
              </w:rPr>
              <w:t>See above – Anti-Idling Campaign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6C" w14:textId="77777777" w:rsidR="004D5836" w:rsidRPr="004D5836" w:rsidRDefault="004D5836" w:rsidP="004D5836">
            <w:pPr>
              <w:rPr>
                <w:rFonts w:cs="Arial"/>
              </w:rPr>
            </w:pPr>
            <w:r w:rsidRPr="004D5836">
              <w:rPr>
                <w:rFonts w:cs="Arial"/>
              </w:rPr>
              <w:t>SRBC, Env Health</w:t>
            </w:r>
          </w:p>
        </w:tc>
      </w:tr>
      <w:tr w:rsidR="004D5836" w:rsidRPr="004D5836" w14:paraId="2C816D72" w14:textId="77777777" w:rsidTr="00D52E5D">
        <w:trPr>
          <w:trHeight w:val="1549"/>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6E" w14:textId="77777777" w:rsidR="004D5836" w:rsidRPr="004D5836" w:rsidRDefault="004D5836" w:rsidP="004D5836">
            <w:pPr>
              <w:rPr>
                <w:rFonts w:cs="Arial"/>
              </w:rPr>
            </w:pPr>
            <w:r w:rsidRPr="004D5836">
              <w:rPr>
                <w:rFonts w:cs="Arial"/>
              </w:rPr>
              <w:lastRenderedPageBreak/>
              <w:t>13</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6F" w14:textId="77777777" w:rsidR="004D5836" w:rsidRPr="004D5836" w:rsidRDefault="004D5836" w:rsidP="00D52E5D">
            <w:pPr>
              <w:rPr>
                <w:rFonts w:cs="Arial"/>
                <w:b/>
              </w:rPr>
            </w:pPr>
            <w:r w:rsidRPr="004D5836">
              <w:rPr>
                <w:rFonts w:cs="Arial"/>
                <w:b/>
              </w:rPr>
              <w:t>Encourage elected members to car share and use alternative forms of transport, in particular to council meetings and functions</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70" w14:textId="77777777" w:rsidR="004D5836" w:rsidRPr="004D5836" w:rsidRDefault="004D5836" w:rsidP="00D52E5D">
            <w:pPr>
              <w:rPr>
                <w:rFonts w:cs="Arial"/>
              </w:rPr>
            </w:pPr>
            <w:r w:rsidRPr="004D5836">
              <w:rPr>
                <w:rFonts w:cs="Arial"/>
              </w:rPr>
              <w:t>This has been discussed with members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71" w14:textId="77777777" w:rsidR="004D5836" w:rsidRPr="004D5836" w:rsidRDefault="004D5836" w:rsidP="004D5836">
            <w:pPr>
              <w:rPr>
                <w:rFonts w:cs="Arial"/>
              </w:rPr>
            </w:pPr>
            <w:r w:rsidRPr="004D5836">
              <w:rPr>
                <w:rFonts w:cs="Arial"/>
              </w:rPr>
              <w:t>SRBC, Elected Members</w:t>
            </w:r>
          </w:p>
        </w:tc>
      </w:tr>
      <w:tr w:rsidR="004D5836" w:rsidRPr="004D5836" w14:paraId="2C816D78" w14:textId="77777777" w:rsidTr="00D52E5D">
        <w:trPr>
          <w:trHeight w:val="1265"/>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73" w14:textId="77777777" w:rsidR="004D5836" w:rsidRPr="004D5836" w:rsidRDefault="004D5836" w:rsidP="004D5836">
            <w:pPr>
              <w:rPr>
                <w:rFonts w:cs="Arial"/>
              </w:rPr>
            </w:pPr>
            <w:r w:rsidRPr="004D5836">
              <w:rPr>
                <w:rFonts w:cs="Arial"/>
              </w:rPr>
              <w:t>14</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74" w14:textId="77777777" w:rsidR="004D5836" w:rsidRPr="004D5836" w:rsidRDefault="004D5836" w:rsidP="00D52E5D">
            <w:pPr>
              <w:rPr>
                <w:rFonts w:cs="Arial"/>
                <w:b/>
              </w:rPr>
            </w:pPr>
            <w:r w:rsidRPr="004D5836">
              <w:rPr>
                <w:rFonts w:cs="Arial"/>
                <w:b/>
              </w:rPr>
              <w:t>Replace the mayoral car with an electric car</w:t>
            </w:r>
          </w:p>
          <w:p w14:paraId="2C816D75" w14:textId="77777777" w:rsidR="004D5836" w:rsidRPr="004D5836" w:rsidRDefault="004D5836" w:rsidP="00D52E5D">
            <w:pPr>
              <w:rPr>
                <w:rFonts w:cs="Arial"/>
                <w:b/>
              </w:rPr>
            </w:pP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76" w14:textId="77777777" w:rsidR="004D5836" w:rsidRPr="004D5836" w:rsidRDefault="004D5836" w:rsidP="00D52E5D">
            <w:pPr>
              <w:rPr>
                <w:rFonts w:cs="Arial"/>
              </w:rPr>
            </w:pPr>
            <w:r w:rsidRPr="004D5836">
              <w:rPr>
                <w:rFonts w:cs="Arial"/>
              </w:rPr>
              <w:t xml:space="preserve">Discussions have been held,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77" w14:textId="77777777" w:rsidR="004D5836" w:rsidRPr="004D5836" w:rsidRDefault="004D5836" w:rsidP="004D5836">
            <w:pPr>
              <w:rPr>
                <w:rFonts w:cs="Arial"/>
              </w:rPr>
            </w:pPr>
            <w:r w:rsidRPr="004D5836">
              <w:rPr>
                <w:rFonts w:cs="Arial"/>
              </w:rPr>
              <w:t>SRBC, Neighbourhoods/Elected Members</w:t>
            </w:r>
          </w:p>
        </w:tc>
      </w:tr>
      <w:tr w:rsidR="004D5836" w:rsidRPr="004D5836" w14:paraId="2C816D7E" w14:textId="77777777" w:rsidTr="00D52E5D">
        <w:trPr>
          <w:trHeight w:val="1679"/>
        </w:trPr>
        <w:tc>
          <w:tcPr>
            <w:tcW w:w="822" w:type="dxa"/>
            <w:tcBorders>
              <w:top w:val="single" w:sz="4" w:space="0" w:color="auto"/>
              <w:left w:val="single" w:sz="8" w:space="0" w:color="auto"/>
              <w:bottom w:val="single" w:sz="4" w:space="0" w:color="auto"/>
              <w:right w:val="single" w:sz="8" w:space="0" w:color="auto"/>
            </w:tcBorders>
            <w:shd w:val="clear" w:color="000000" w:fill="CBE9D3"/>
            <w:vAlign w:val="center"/>
          </w:tcPr>
          <w:p w14:paraId="2C816D79" w14:textId="77777777" w:rsidR="004D5836" w:rsidRPr="004D5836" w:rsidRDefault="004D5836" w:rsidP="004D5836">
            <w:pPr>
              <w:rPr>
                <w:rFonts w:cs="Arial"/>
              </w:rPr>
            </w:pPr>
            <w:r w:rsidRPr="004D5836">
              <w:rPr>
                <w:rFonts w:cs="Arial"/>
              </w:rPr>
              <w:t>15</w:t>
            </w:r>
          </w:p>
        </w:tc>
        <w:tc>
          <w:tcPr>
            <w:tcW w:w="2864" w:type="dxa"/>
            <w:tcBorders>
              <w:top w:val="single" w:sz="4" w:space="0" w:color="auto"/>
              <w:left w:val="nil"/>
              <w:bottom w:val="single" w:sz="4" w:space="0" w:color="auto"/>
              <w:right w:val="single" w:sz="8" w:space="0" w:color="auto"/>
            </w:tcBorders>
            <w:shd w:val="clear" w:color="auto" w:fill="auto"/>
          </w:tcPr>
          <w:p w14:paraId="2C816D7A" w14:textId="77777777" w:rsidR="004D5836" w:rsidRPr="004D5836" w:rsidRDefault="004D5836" w:rsidP="00D52E5D">
            <w:pPr>
              <w:rPr>
                <w:rFonts w:cs="Arial"/>
                <w:b/>
              </w:rPr>
            </w:pPr>
            <w:r w:rsidRPr="004D5836">
              <w:rPr>
                <w:rFonts w:cs="Arial"/>
                <w:b/>
              </w:rPr>
              <w:t xml:space="preserve">Air Quality shall be considered within the decision making process on every report to cabinet, council, portfolio holder decision </w:t>
            </w:r>
            <w:r w:rsidR="006A277E" w:rsidRPr="004D5836">
              <w:rPr>
                <w:rFonts w:cs="Arial"/>
                <w:b/>
              </w:rPr>
              <w:t>etc.</w:t>
            </w:r>
          </w:p>
          <w:p w14:paraId="2C816D7B" w14:textId="77777777" w:rsidR="004D5836" w:rsidRPr="004D5836" w:rsidRDefault="004D5836" w:rsidP="00D52E5D">
            <w:pPr>
              <w:rPr>
                <w:rFonts w:cs="Arial"/>
                <w:b/>
              </w:rPr>
            </w:pPr>
          </w:p>
        </w:tc>
        <w:tc>
          <w:tcPr>
            <w:tcW w:w="4825" w:type="dxa"/>
            <w:tcBorders>
              <w:top w:val="single" w:sz="4" w:space="0" w:color="auto"/>
              <w:left w:val="nil"/>
              <w:bottom w:val="single" w:sz="4" w:space="0" w:color="auto"/>
              <w:right w:val="single" w:sz="8" w:space="0" w:color="auto"/>
            </w:tcBorders>
            <w:shd w:val="clear" w:color="auto" w:fill="auto"/>
          </w:tcPr>
          <w:p w14:paraId="2C816D7C" w14:textId="77777777" w:rsidR="004D5836" w:rsidRPr="004D5836" w:rsidRDefault="004D5836" w:rsidP="003A2003">
            <w:pPr>
              <w:rPr>
                <w:rFonts w:cs="Arial"/>
              </w:rPr>
            </w:pPr>
            <w:r w:rsidRPr="004D5836">
              <w:rPr>
                <w:rFonts w:cs="Arial"/>
              </w:rPr>
              <w:t xml:space="preserve">This has been raised </w:t>
            </w:r>
            <w:r w:rsidR="003A2003">
              <w:rPr>
                <w:rFonts w:cs="Arial"/>
              </w:rPr>
              <w:t>at Leadership team.</w:t>
            </w:r>
          </w:p>
        </w:tc>
        <w:tc>
          <w:tcPr>
            <w:tcW w:w="1843" w:type="dxa"/>
            <w:tcBorders>
              <w:top w:val="single" w:sz="4" w:space="0" w:color="auto"/>
              <w:left w:val="nil"/>
              <w:bottom w:val="single" w:sz="4" w:space="0" w:color="auto"/>
              <w:right w:val="single" w:sz="8" w:space="0" w:color="auto"/>
            </w:tcBorders>
            <w:shd w:val="clear" w:color="auto" w:fill="auto"/>
            <w:vAlign w:val="center"/>
          </w:tcPr>
          <w:p w14:paraId="2C816D7D" w14:textId="77777777" w:rsidR="004D5836" w:rsidRPr="004D5836" w:rsidRDefault="004D5836" w:rsidP="004D5836">
            <w:pPr>
              <w:rPr>
                <w:rFonts w:cs="Arial"/>
              </w:rPr>
            </w:pPr>
            <w:r w:rsidRPr="004D5836">
              <w:rPr>
                <w:rFonts w:cs="Arial"/>
              </w:rPr>
              <w:t>SRBC, Democratic Services, CEO</w:t>
            </w:r>
          </w:p>
        </w:tc>
      </w:tr>
      <w:tr w:rsidR="004D5836" w:rsidRPr="004D5836" w14:paraId="2C816D86" w14:textId="77777777" w:rsidTr="00D52E5D">
        <w:trPr>
          <w:trHeight w:val="3054"/>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7F" w14:textId="77777777" w:rsidR="004D5836" w:rsidRPr="004D5836" w:rsidRDefault="004D5836" w:rsidP="004D5836">
            <w:pPr>
              <w:rPr>
                <w:rFonts w:cs="Arial"/>
              </w:rPr>
            </w:pPr>
            <w:r w:rsidRPr="004D5836">
              <w:rPr>
                <w:rFonts w:cs="Arial"/>
              </w:rPr>
              <w:t>16</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80" w14:textId="77777777" w:rsidR="004D5836" w:rsidRPr="004D5836" w:rsidRDefault="004D5836" w:rsidP="00D52E5D">
            <w:pPr>
              <w:rPr>
                <w:rFonts w:cs="Arial"/>
                <w:b/>
              </w:rPr>
            </w:pPr>
            <w:r w:rsidRPr="004D5836">
              <w:rPr>
                <w:rFonts w:cs="Arial"/>
                <w:b/>
              </w:rPr>
              <w:t>Replace the civic centre pool car with an electric car</w:t>
            </w:r>
          </w:p>
          <w:p w14:paraId="2C816D81" w14:textId="77777777" w:rsidR="004D5836" w:rsidRPr="004D5836" w:rsidRDefault="004D5836" w:rsidP="00D52E5D">
            <w:pPr>
              <w:rPr>
                <w:rFonts w:cs="Arial"/>
                <w:b/>
              </w:rPr>
            </w:pPr>
            <w:r w:rsidRPr="004D5836">
              <w:rPr>
                <w:rFonts w:cs="Arial"/>
                <w:b/>
              </w:rPr>
              <w:t>Systematically replace the depot vans with electric vehicles</w:t>
            </w:r>
          </w:p>
          <w:p w14:paraId="2C816D82" w14:textId="77777777" w:rsidR="004D5836" w:rsidRPr="004D5836" w:rsidRDefault="004D5836" w:rsidP="00D52E5D">
            <w:pPr>
              <w:rPr>
                <w:rFonts w:cs="Arial"/>
                <w:b/>
              </w:rPr>
            </w:pPr>
          </w:p>
          <w:p w14:paraId="2C816D83" w14:textId="77777777" w:rsidR="004D5836" w:rsidRPr="004D5836" w:rsidRDefault="004D5836" w:rsidP="00D52E5D">
            <w:pPr>
              <w:rPr>
                <w:rFonts w:cs="Arial"/>
                <w:b/>
              </w:rPr>
            </w:pPr>
            <w:r w:rsidRPr="004D5836">
              <w:rPr>
                <w:rFonts w:cs="Arial"/>
                <w:b/>
              </w:rPr>
              <w:t>Systematically replace grounds vehicles with electric vehicles as technology becomes available</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84" w14:textId="77777777" w:rsidR="004D5836" w:rsidRPr="004D5836" w:rsidRDefault="004D5836" w:rsidP="00D52E5D">
            <w:pPr>
              <w:rPr>
                <w:rFonts w:cs="Arial"/>
              </w:rPr>
            </w:pPr>
            <w:r w:rsidRPr="004D5836">
              <w:rPr>
                <w:rFonts w:cs="Arial"/>
              </w:rPr>
              <w:t>Discussio</w:t>
            </w:r>
            <w:r w:rsidR="00D52E5D">
              <w:rPr>
                <w:rFonts w:cs="Arial"/>
              </w:rPr>
              <w:t xml:space="preserve">ns </w:t>
            </w:r>
            <w:r w:rsidR="003A2003">
              <w:rPr>
                <w:rFonts w:cs="Arial"/>
              </w:rPr>
              <w:t xml:space="preserve">have been held and electric vans have been trialled.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85" w14:textId="77777777" w:rsidR="004D5836" w:rsidRPr="004D5836" w:rsidRDefault="004D5836" w:rsidP="004D5836">
            <w:pPr>
              <w:rPr>
                <w:rFonts w:cs="Arial"/>
              </w:rPr>
            </w:pPr>
            <w:r w:rsidRPr="004D5836">
              <w:rPr>
                <w:rFonts w:cs="Arial"/>
              </w:rPr>
              <w:t>SRBC, Neighbourhoods</w:t>
            </w:r>
          </w:p>
        </w:tc>
      </w:tr>
      <w:tr w:rsidR="004D5836" w:rsidRPr="004D5836" w14:paraId="2C816D8B" w14:textId="77777777" w:rsidTr="00D52E5D">
        <w:trPr>
          <w:trHeight w:val="2404"/>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87" w14:textId="77777777" w:rsidR="004D5836" w:rsidRPr="004D5836" w:rsidRDefault="004D5836" w:rsidP="004D5836">
            <w:pPr>
              <w:rPr>
                <w:rFonts w:cs="Arial"/>
              </w:rPr>
            </w:pPr>
            <w:r w:rsidRPr="004D5836">
              <w:rPr>
                <w:rFonts w:cs="Arial"/>
              </w:rPr>
              <w:t>17</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88" w14:textId="77777777" w:rsidR="004D5836" w:rsidRPr="004D5836" w:rsidRDefault="004D5836" w:rsidP="006A277E">
            <w:pPr>
              <w:rPr>
                <w:rFonts w:cs="Arial"/>
                <w:b/>
              </w:rPr>
            </w:pPr>
            <w:r w:rsidRPr="004D5836">
              <w:rPr>
                <w:rFonts w:cs="Arial"/>
                <w:b/>
              </w:rPr>
              <w:t>Sign up to the ‘</w:t>
            </w:r>
            <w:r w:rsidR="006A277E">
              <w:rPr>
                <w:rFonts w:cs="Arial"/>
                <w:b/>
              </w:rPr>
              <w:t>NHS</w:t>
            </w:r>
            <w:r w:rsidRPr="004D5836">
              <w:rPr>
                <w:rFonts w:cs="Arial"/>
                <w:b/>
              </w:rPr>
              <w:t xml:space="preserve"> fleet solutions salary sacrifice scheme’ this allows staff to purchase via salary sacrifice a new car (to be restricted to electric vehicles only) including all insurance, tax, and servicing</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89" w14:textId="77777777" w:rsidR="004D5836" w:rsidRPr="004D5836" w:rsidRDefault="00D52E5D" w:rsidP="00D52E5D">
            <w:pPr>
              <w:rPr>
                <w:rFonts w:cs="Arial"/>
              </w:rPr>
            </w:pPr>
            <w:r>
              <w:rPr>
                <w:rFonts w:cs="Arial"/>
              </w:rPr>
              <w:t>A Lead</w:t>
            </w:r>
            <w:r w:rsidR="004D5836" w:rsidRPr="004D5836">
              <w:rPr>
                <w:rFonts w:cs="Arial"/>
              </w:rPr>
              <w:t>e</w:t>
            </w:r>
            <w:r>
              <w:rPr>
                <w:rFonts w:cs="Arial"/>
              </w:rPr>
              <w:t>r</w:t>
            </w:r>
            <w:r w:rsidR="004D5836" w:rsidRPr="004D5836">
              <w:rPr>
                <w:rFonts w:cs="Arial"/>
              </w:rPr>
              <w:t xml:space="preserve">ship Team Report to investigate the </w:t>
            </w:r>
            <w:r w:rsidR="003A2003">
              <w:rPr>
                <w:rFonts w:cs="Arial"/>
              </w:rPr>
              <w:t>options further has been prepared.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8A" w14:textId="77777777" w:rsidR="004D5836" w:rsidRPr="004D5836" w:rsidRDefault="004D5836" w:rsidP="004D5836">
            <w:pPr>
              <w:rPr>
                <w:rFonts w:cs="Arial"/>
              </w:rPr>
            </w:pPr>
            <w:r w:rsidRPr="004D5836">
              <w:rPr>
                <w:rFonts w:cs="Arial"/>
              </w:rPr>
              <w:t>SRBC, Leadership Team, HR</w:t>
            </w:r>
          </w:p>
        </w:tc>
      </w:tr>
      <w:tr w:rsidR="004D5836" w:rsidRPr="004D5836" w14:paraId="2C816D90" w14:textId="77777777" w:rsidTr="00D52E5D">
        <w:trPr>
          <w:trHeight w:val="1403"/>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8C" w14:textId="77777777" w:rsidR="004D5836" w:rsidRPr="004D5836" w:rsidRDefault="004D5836" w:rsidP="004D5836">
            <w:pPr>
              <w:rPr>
                <w:rFonts w:cs="Arial"/>
              </w:rPr>
            </w:pPr>
            <w:r w:rsidRPr="004D5836">
              <w:rPr>
                <w:rFonts w:cs="Arial"/>
              </w:rPr>
              <w:t>18</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8D" w14:textId="77777777" w:rsidR="004D5836" w:rsidRPr="004D5836" w:rsidRDefault="004D5836" w:rsidP="00D52E5D">
            <w:pPr>
              <w:rPr>
                <w:rFonts w:cs="Arial"/>
                <w:b/>
              </w:rPr>
            </w:pPr>
            <w:r w:rsidRPr="004D5836">
              <w:rPr>
                <w:rFonts w:cs="Arial"/>
                <w:b/>
              </w:rPr>
              <w:t>Provide secure lockable cycle storage facilities at the civic and depot</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8E" w14:textId="77777777" w:rsidR="004D5836" w:rsidRPr="004D5836" w:rsidRDefault="004D5836" w:rsidP="00D52E5D">
            <w:pPr>
              <w:rPr>
                <w:rFonts w:cs="Arial"/>
              </w:rPr>
            </w:pPr>
            <w:r w:rsidRPr="004D5836">
              <w:rPr>
                <w:rFonts w:cs="Arial"/>
              </w:rPr>
              <w:t>Secure cycle storage has been provided at the Civic Cen</w:t>
            </w:r>
            <w:r w:rsidR="003A2003">
              <w:rPr>
                <w:rFonts w:cs="Arial"/>
              </w:rPr>
              <w:t>tre.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8F" w14:textId="77777777" w:rsidR="004D5836" w:rsidRPr="004D5836" w:rsidRDefault="004D5836" w:rsidP="004D5836">
            <w:pPr>
              <w:rPr>
                <w:rFonts w:cs="Arial"/>
              </w:rPr>
            </w:pPr>
            <w:r w:rsidRPr="004D5836">
              <w:rPr>
                <w:rFonts w:cs="Arial"/>
              </w:rPr>
              <w:t>SRBC, Neighbourhoods</w:t>
            </w:r>
          </w:p>
        </w:tc>
      </w:tr>
      <w:tr w:rsidR="004D5836" w:rsidRPr="004D5836" w14:paraId="2C816D96" w14:textId="77777777" w:rsidTr="00D52E5D">
        <w:trPr>
          <w:trHeight w:val="1126"/>
        </w:trPr>
        <w:tc>
          <w:tcPr>
            <w:tcW w:w="822" w:type="dxa"/>
            <w:tcBorders>
              <w:top w:val="single" w:sz="4" w:space="0" w:color="auto"/>
              <w:left w:val="single" w:sz="4" w:space="0" w:color="auto"/>
              <w:bottom w:val="single" w:sz="4" w:space="0" w:color="auto"/>
              <w:right w:val="single" w:sz="4" w:space="0" w:color="auto"/>
            </w:tcBorders>
            <w:shd w:val="clear" w:color="000000" w:fill="CBE9D3"/>
            <w:vAlign w:val="center"/>
          </w:tcPr>
          <w:p w14:paraId="2C816D91" w14:textId="77777777" w:rsidR="004D5836" w:rsidRPr="004D5836" w:rsidRDefault="004D5836" w:rsidP="004D5836">
            <w:pPr>
              <w:rPr>
                <w:rFonts w:cs="Arial"/>
              </w:rPr>
            </w:pPr>
            <w:r w:rsidRPr="004D5836">
              <w:rPr>
                <w:rFonts w:cs="Arial"/>
              </w:rPr>
              <w:t>19</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C816D92" w14:textId="77777777" w:rsidR="004D5836" w:rsidRPr="004D5836" w:rsidRDefault="004D5836" w:rsidP="00D52E5D">
            <w:pPr>
              <w:rPr>
                <w:rFonts w:cs="Arial"/>
                <w:b/>
              </w:rPr>
            </w:pPr>
            <w:r w:rsidRPr="004D5836">
              <w:rPr>
                <w:rFonts w:cs="Arial"/>
                <w:b/>
              </w:rPr>
              <w:t>Provide suitable changing rooms and storage facilities for use of staff</w:t>
            </w:r>
          </w:p>
          <w:p w14:paraId="2C816D93" w14:textId="77777777" w:rsidR="004D5836" w:rsidRPr="004D5836" w:rsidRDefault="004D5836" w:rsidP="00D52E5D">
            <w:pPr>
              <w:rPr>
                <w:rFonts w:cs="Arial"/>
                <w:b/>
              </w:rPr>
            </w:pP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C816D94" w14:textId="77777777" w:rsidR="004D5836" w:rsidRPr="004D5836" w:rsidRDefault="004D5836" w:rsidP="00D52E5D">
            <w:pPr>
              <w:rPr>
                <w:rFonts w:cs="Arial"/>
              </w:rPr>
            </w:pPr>
            <w:r w:rsidRPr="004D5836">
              <w:rPr>
                <w:rFonts w:cs="Arial"/>
              </w:rPr>
              <w:t>Work has begun on the planning of changing rooms at the Civic Centre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16D95" w14:textId="77777777" w:rsidR="004D5836" w:rsidRPr="004D5836" w:rsidRDefault="004D5836" w:rsidP="004D5836">
            <w:pPr>
              <w:rPr>
                <w:rFonts w:cs="Arial"/>
              </w:rPr>
            </w:pPr>
            <w:r w:rsidRPr="004D5836">
              <w:rPr>
                <w:rFonts w:cs="Arial"/>
              </w:rPr>
              <w:t>SRBC, Neighbourhoods</w:t>
            </w:r>
          </w:p>
        </w:tc>
      </w:tr>
    </w:tbl>
    <w:p w14:paraId="2C816D97" w14:textId="77777777" w:rsidR="00956670" w:rsidRPr="009725FB" w:rsidRDefault="00956670" w:rsidP="00E56ABF">
      <w:pPr>
        <w:rPr>
          <w:rFonts w:cs="Arial"/>
        </w:rPr>
      </w:pPr>
    </w:p>
    <w:sectPr w:rsidR="00956670"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16DA6" w14:textId="77777777" w:rsidR="005C5BA2" w:rsidRDefault="005C5BA2">
      <w:r>
        <w:separator/>
      </w:r>
    </w:p>
  </w:endnote>
  <w:endnote w:type="continuationSeparator" w:id="0">
    <w:p w14:paraId="2C816DA7" w14:textId="77777777" w:rsidR="005C5BA2" w:rsidRDefault="005C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6DA8" w14:textId="77777777" w:rsidR="005C5BA2" w:rsidRDefault="005C5BA2" w:rsidP="009A064D">
    <w:pPr>
      <w:pStyle w:val="Footer"/>
      <w:tabs>
        <w:tab w:val="clear" w:pos="8306"/>
        <w:tab w:val="right" w:pos="9072"/>
      </w:tabs>
    </w:pP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16DA4" w14:textId="77777777" w:rsidR="005C5BA2" w:rsidRDefault="005C5BA2">
      <w:r>
        <w:separator/>
      </w:r>
    </w:p>
  </w:footnote>
  <w:footnote w:type="continuationSeparator" w:id="0">
    <w:p w14:paraId="2C816DA5" w14:textId="77777777" w:rsidR="005C5BA2" w:rsidRDefault="005C5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48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567DF"/>
    <w:multiLevelType w:val="hybridMultilevel"/>
    <w:tmpl w:val="3E34E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32F422C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8"/>
  </w:num>
  <w:num w:numId="5">
    <w:abstractNumId w:val="10"/>
  </w:num>
  <w:num w:numId="6">
    <w:abstractNumId w:val="7"/>
  </w:num>
  <w:num w:numId="7">
    <w:abstractNumId w:val="4"/>
  </w:num>
  <w:num w:numId="8">
    <w:abstractNumId w:val="5"/>
  </w:num>
  <w:num w:numId="9">
    <w:abstractNumId w:val="1"/>
  </w:num>
  <w:num w:numId="10">
    <w:abstractNumId w:val="3"/>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4940"/>
    <w:rsid w:val="00016DD3"/>
    <w:rsid w:val="00022B08"/>
    <w:rsid w:val="00037593"/>
    <w:rsid w:val="000427E0"/>
    <w:rsid w:val="00044775"/>
    <w:rsid w:val="00044F11"/>
    <w:rsid w:val="0006370A"/>
    <w:rsid w:val="00077488"/>
    <w:rsid w:val="000828CC"/>
    <w:rsid w:val="0009466B"/>
    <w:rsid w:val="000D40AB"/>
    <w:rsid w:val="000E10FE"/>
    <w:rsid w:val="000E5A3B"/>
    <w:rsid w:val="000F2C8A"/>
    <w:rsid w:val="0010115F"/>
    <w:rsid w:val="00116662"/>
    <w:rsid w:val="0014052B"/>
    <w:rsid w:val="001544DD"/>
    <w:rsid w:val="00155DCA"/>
    <w:rsid w:val="00167AEF"/>
    <w:rsid w:val="0017549F"/>
    <w:rsid w:val="00176159"/>
    <w:rsid w:val="00184E1D"/>
    <w:rsid w:val="0019545D"/>
    <w:rsid w:val="001A24F9"/>
    <w:rsid w:val="001B166E"/>
    <w:rsid w:val="001C1ECC"/>
    <w:rsid w:val="001D407F"/>
    <w:rsid w:val="00203633"/>
    <w:rsid w:val="00207251"/>
    <w:rsid w:val="0021239B"/>
    <w:rsid w:val="002221BD"/>
    <w:rsid w:val="002278C3"/>
    <w:rsid w:val="00240D10"/>
    <w:rsid w:val="0025591B"/>
    <w:rsid w:val="002818D3"/>
    <w:rsid w:val="002820A5"/>
    <w:rsid w:val="00294520"/>
    <w:rsid w:val="002D4745"/>
    <w:rsid w:val="002E4FF4"/>
    <w:rsid w:val="002F5C5E"/>
    <w:rsid w:val="0031059E"/>
    <w:rsid w:val="0031245C"/>
    <w:rsid w:val="00322C85"/>
    <w:rsid w:val="00327BC5"/>
    <w:rsid w:val="00331D5F"/>
    <w:rsid w:val="00345C71"/>
    <w:rsid w:val="00357F6B"/>
    <w:rsid w:val="00371D89"/>
    <w:rsid w:val="0037228A"/>
    <w:rsid w:val="00386AAD"/>
    <w:rsid w:val="003A1B3F"/>
    <w:rsid w:val="003A2003"/>
    <w:rsid w:val="003A23D3"/>
    <w:rsid w:val="003A2919"/>
    <w:rsid w:val="003B1E6D"/>
    <w:rsid w:val="003C36EB"/>
    <w:rsid w:val="003D3DEB"/>
    <w:rsid w:val="003D4E28"/>
    <w:rsid w:val="003E33E6"/>
    <w:rsid w:val="003F0D9C"/>
    <w:rsid w:val="003F31FF"/>
    <w:rsid w:val="003F5603"/>
    <w:rsid w:val="00405D4A"/>
    <w:rsid w:val="00407A09"/>
    <w:rsid w:val="004155DC"/>
    <w:rsid w:val="004218EA"/>
    <w:rsid w:val="00442C46"/>
    <w:rsid w:val="00445FAD"/>
    <w:rsid w:val="00454D59"/>
    <w:rsid w:val="0045553F"/>
    <w:rsid w:val="00467204"/>
    <w:rsid w:val="00474DA8"/>
    <w:rsid w:val="0047754F"/>
    <w:rsid w:val="00491976"/>
    <w:rsid w:val="004A45D4"/>
    <w:rsid w:val="004C2F94"/>
    <w:rsid w:val="004D5836"/>
    <w:rsid w:val="004D7260"/>
    <w:rsid w:val="004F23B3"/>
    <w:rsid w:val="0050340F"/>
    <w:rsid w:val="005041BB"/>
    <w:rsid w:val="00517D50"/>
    <w:rsid w:val="0052539B"/>
    <w:rsid w:val="00533525"/>
    <w:rsid w:val="00535349"/>
    <w:rsid w:val="00537F51"/>
    <w:rsid w:val="00547120"/>
    <w:rsid w:val="00547481"/>
    <w:rsid w:val="00552DBD"/>
    <w:rsid w:val="00576A82"/>
    <w:rsid w:val="005944CE"/>
    <w:rsid w:val="00594D09"/>
    <w:rsid w:val="005A26AD"/>
    <w:rsid w:val="005B0C36"/>
    <w:rsid w:val="005C5BA2"/>
    <w:rsid w:val="005D4F59"/>
    <w:rsid w:val="005F2EE3"/>
    <w:rsid w:val="0060374B"/>
    <w:rsid w:val="00621D7D"/>
    <w:rsid w:val="00630F86"/>
    <w:rsid w:val="00633396"/>
    <w:rsid w:val="00635ABE"/>
    <w:rsid w:val="00645A0B"/>
    <w:rsid w:val="0065176C"/>
    <w:rsid w:val="006532D6"/>
    <w:rsid w:val="006555E6"/>
    <w:rsid w:val="006879CA"/>
    <w:rsid w:val="00693EE6"/>
    <w:rsid w:val="00696492"/>
    <w:rsid w:val="00697884"/>
    <w:rsid w:val="006A04A3"/>
    <w:rsid w:val="006A277E"/>
    <w:rsid w:val="006B645E"/>
    <w:rsid w:val="006B66A7"/>
    <w:rsid w:val="006B7116"/>
    <w:rsid w:val="006C04C1"/>
    <w:rsid w:val="006C209A"/>
    <w:rsid w:val="006D1DB9"/>
    <w:rsid w:val="006E09FB"/>
    <w:rsid w:val="006E0ECA"/>
    <w:rsid w:val="006E30F2"/>
    <w:rsid w:val="006E4BE9"/>
    <w:rsid w:val="006F48FD"/>
    <w:rsid w:val="006F56CC"/>
    <w:rsid w:val="00703DE3"/>
    <w:rsid w:val="00707E99"/>
    <w:rsid w:val="00712E3F"/>
    <w:rsid w:val="00720EB8"/>
    <w:rsid w:val="007668A4"/>
    <w:rsid w:val="007676D5"/>
    <w:rsid w:val="007A0801"/>
    <w:rsid w:val="007A3E15"/>
    <w:rsid w:val="007B223D"/>
    <w:rsid w:val="007D3D8B"/>
    <w:rsid w:val="007F2721"/>
    <w:rsid w:val="008062E7"/>
    <w:rsid w:val="00814F6D"/>
    <w:rsid w:val="0084659E"/>
    <w:rsid w:val="00857921"/>
    <w:rsid w:val="008770BE"/>
    <w:rsid w:val="00893AD2"/>
    <w:rsid w:val="008A2F6B"/>
    <w:rsid w:val="008A42E3"/>
    <w:rsid w:val="008A77AB"/>
    <w:rsid w:val="008B41C5"/>
    <w:rsid w:val="008C04DA"/>
    <w:rsid w:val="008C1DBF"/>
    <w:rsid w:val="008C3B1A"/>
    <w:rsid w:val="008D623F"/>
    <w:rsid w:val="008F4B91"/>
    <w:rsid w:val="0090542C"/>
    <w:rsid w:val="009063C4"/>
    <w:rsid w:val="009072BE"/>
    <w:rsid w:val="00911FD5"/>
    <w:rsid w:val="009350CB"/>
    <w:rsid w:val="009538AE"/>
    <w:rsid w:val="00956670"/>
    <w:rsid w:val="009567DA"/>
    <w:rsid w:val="00970C70"/>
    <w:rsid w:val="00980267"/>
    <w:rsid w:val="00980BF1"/>
    <w:rsid w:val="00983CD5"/>
    <w:rsid w:val="009846F1"/>
    <w:rsid w:val="00992E79"/>
    <w:rsid w:val="009A064D"/>
    <w:rsid w:val="009A714A"/>
    <w:rsid w:val="009B67A7"/>
    <w:rsid w:val="009C1143"/>
    <w:rsid w:val="009D3E4A"/>
    <w:rsid w:val="009D5F9C"/>
    <w:rsid w:val="009E233A"/>
    <w:rsid w:val="009E48E0"/>
    <w:rsid w:val="00A1406A"/>
    <w:rsid w:val="00A162DE"/>
    <w:rsid w:val="00A2078A"/>
    <w:rsid w:val="00A22D02"/>
    <w:rsid w:val="00A30426"/>
    <w:rsid w:val="00A445C9"/>
    <w:rsid w:val="00A4702E"/>
    <w:rsid w:val="00A50754"/>
    <w:rsid w:val="00A62C20"/>
    <w:rsid w:val="00A67215"/>
    <w:rsid w:val="00A7541A"/>
    <w:rsid w:val="00A76482"/>
    <w:rsid w:val="00A833B5"/>
    <w:rsid w:val="00A975A7"/>
    <w:rsid w:val="00AB3D95"/>
    <w:rsid w:val="00AC10B6"/>
    <w:rsid w:val="00AC4A99"/>
    <w:rsid w:val="00AF0A33"/>
    <w:rsid w:val="00AF7179"/>
    <w:rsid w:val="00B05FE8"/>
    <w:rsid w:val="00B111B0"/>
    <w:rsid w:val="00B1788B"/>
    <w:rsid w:val="00B443DD"/>
    <w:rsid w:val="00B51DB8"/>
    <w:rsid w:val="00B62D79"/>
    <w:rsid w:val="00B67225"/>
    <w:rsid w:val="00B70B91"/>
    <w:rsid w:val="00B716F5"/>
    <w:rsid w:val="00B72A06"/>
    <w:rsid w:val="00B766C4"/>
    <w:rsid w:val="00B841FA"/>
    <w:rsid w:val="00BA2606"/>
    <w:rsid w:val="00BC6635"/>
    <w:rsid w:val="00BD2AFE"/>
    <w:rsid w:val="00BD4760"/>
    <w:rsid w:val="00BE0127"/>
    <w:rsid w:val="00BF7AD9"/>
    <w:rsid w:val="00C022F9"/>
    <w:rsid w:val="00C209E3"/>
    <w:rsid w:val="00C24CE0"/>
    <w:rsid w:val="00C2554A"/>
    <w:rsid w:val="00C30128"/>
    <w:rsid w:val="00C52450"/>
    <w:rsid w:val="00C64ED1"/>
    <w:rsid w:val="00C65FF9"/>
    <w:rsid w:val="00C66BAA"/>
    <w:rsid w:val="00C72111"/>
    <w:rsid w:val="00C72797"/>
    <w:rsid w:val="00C80A48"/>
    <w:rsid w:val="00CB32DF"/>
    <w:rsid w:val="00CC3246"/>
    <w:rsid w:val="00CC4337"/>
    <w:rsid w:val="00CE3DA1"/>
    <w:rsid w:val="00CE4482"/>
    <w:rsid w:val="00CF6B60"/>
    <w:rsid w:val="00D36638"/>
    <w:rsid w:val="00D37745"/>
    <w:rsid w:val="00D37BAE"/>
    <w:rsid w:val="00D4487D"/>
    <w:rsid w:val="00D52E5D"/>
    <w:rsid w:val="00D53BD8"/>
    <w:rsid w:val="00D61722"/>
    <w:rsid w:val="00D772AB"/>
    <w:rsid w:val="00D90A00"/>
    <w:rsid w:val="00D91845"/>
    <w:rsid w:val="00D9371C"/>
    <w:rsid w:val="00DA589A"/>
    <w:rsid w:val="00DB3FD0"/>
    <w:rsid w:val="00DB4EB8"/>
    <w:rsid w:val="00DB6F5A"/>
    <w:rsid w:val="00DE5E12"/>
    <w:rsid w:val="00E048CF"/>
    <w:rsid w:val="00E1420C"/>
    <w:rsid w:val="00E2276E"/>
    <w:rsid w:val="00E41950"/>
    <w:rsid w:val="00E50A9C"/>
    <w:rsid w:val="00E51F90"/>
    <w:rsid w:val="00E569CB"/>
    <w:rsid w:val="00E56ABF"/>
    <w:rsid w:val="00E577A2"/>
    <w:rsid w:val="00E60A53"/>
    <w:rsid w:val="00E66713"/>
    <w:rsid w:val="00E733A5"/>
    <w:rsid w:val="00E753EC"/>
    <w:rsid w:val="00E84459"/>
    <w:rsid w:val="00E971A2"/>
    <w:rsid w:val="00EB2F5C"/>
    <w:rsid w:val="00EB7B0D"/>
    <w:rsid w:val="00EB7C94"/>
    <w:rsid w:val="00ED257A"/>
    <w:rsid w:val="00ED57B4"/>
    <w:rsid w:val="00EE1A41"/>
    <w:rsid w:val="00EF3B6C"/>
    <w:rsid w:val="00F02677"/>
    <w:rsid w:val="00F031E8"/>
    <w:rsid w:val="00F148A9"/>
    <w:rsid w:val="00F3057A"/>
    <w:rsid w:val="00F30E9C"/>
    <w:rsid w:val="00F44C89"/>
    <w:rsid w:val="00F47F6D"/>
    <w:rsid w:val="00F55E4D"/>
    <w:rsid w:val="00F61752"/>
    <w:rsid w:val="00F61B34"/>
    <w:rsid w:val="00F8316E"/>
    <w:rsid w:val="00F96129"/>
    <w:rsid w:val="00FA2963"/>
    <w:rsid w:val="00FA3405"/>
    <w:rsid w:val="00FB4621"/>
    <w:rsid w:val="00FD3880"/>
    <w:rsid w:val="00FD7B65"/>
    <w:rsid w:val="00FE20F7"/>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816A93"/>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A9"/>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Trend Data. AQMA 1, Penwortham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'Trend graphs'!$A$24</c:f>
              <c:strCache>
                <c:ptCount val="1"/>
                <c:pt idx="0">
                  <c:v>11 Library Liverpool Road, Penworthham</c:v>
                </c:pt>
              </c:strCache>
            </c:strRef>
          </c:tx>
          <c:spPr>
            <a:ln w="28575" cap="rnd">
              <a:solidFill>
                <a:schemeClr val="accent2"/>
              </a:solidFill>
              <a:round/>
            </a:ln>
            <a:effectLst/>
          </c:spPr>
          <c:marker>
            <c:symbol val="none"/>
          </c:marker>
          <c:cat>
            <c:numRef>
              <c:f>'Trend graphs'!$C$23:$G$23</c:f>
              <c:numCache>
                <c:formatCode>General</c:formatCode>
                <c:ptCount val="5"/>
                <c:pt idx="0">
                  <c:v>2013</c:v>
                </c:pt>
                <c:pt idx="1">
                  <c:v>2014</c:v>
                </c:pt>
                <c:pt idx="2">
                  <c:v>2015</c:v>
                </c:pt>
                <c:pt idx="3">
                  <c:v>2016</c:v>
                </c:pt>
                <c:pt idx="4">
                  <c:v>2017</c:v>
                </c:pt>
              </c:numCache>
            </c:numRef>
          </c:cat>
          <c:val>
            <c:numRef>
              <c:f>'Trend graphs'!$C$24:$G$24</c:f>
              <c:numCache>
                <c:formatCode>General</c:formatCode>
                <c:ptCount val="5"/>
                <c:pt idx="0">
                  <c:v>28</c:v>
                </c:pt>
                <c:pt idx="1">
                  <c:v>28</c:v>
                </c:pt>
                <c:pt idx="2" formatCode="0">
                  <c:v>23</c:v>
                </c:pt>
                <c:pt idx="3" formatCode="0">
                  <c:v>28.2</c:v>
                </c:pt>
                <c:pt idx="4" formatCode="0">
                  <c:v>28.2</c:v>
                </c:pt>
              </c:numCache>
            </c:numRef>
          </c:val>
          <c:smooth val="0"/>
        </c:ser>
        <c:ser>
          <c:idx val="2"/>
          <c:order val="1"/>
          <c:tx>
            <c:strRef>
              <c:f>'Trend graphs'!$A$25</c:f>
              <c:strCache>
                <c:ptCount val="1"/>
                <c:pt idx="0">
                  <c:v>"Robert&amp;Co", 36e Liverpool Road, Penwortham</c:v>
                </c:pt>
              </c:strCache>
            </c:strRef>
          </c:tx>
          <c:spPr>
            <a:ln w="28575" cap="rnd">
              <a:solidFill>
                <a:schemeClr val="accent3"/>
              </a:solidFill>
              <a:round/>
            </a:ln>
            <a:effectLst/>
          </c:spPr>
          <c:marker>
            <c:symbol val="none"/>
          </c:marker>
          <c:cat>
            <c:numRef>
              <c:f>'Trend graphs'!$C$23:$G$23</c:f>
              <c:numCache>
                <c:formatCode>General</c:formatCode>
                <c:ptCount val="5"/>
                <c:pt idx="0">
                  <c:v>2013</c:v>
                </c:pt>
                <c:pt idx="1">
                  <c:v>2014</c:v>
                </c:pt>
                <c:pt idx="2">
                  <c:v>2015</c:v>
                </c:pt>
                <c:pt idx="3">
                  <c:v>2016</c:v>
                </c:pt>
                <c:pt idx="4">
                  <c:v>2017</c:v>
                </c:pt>
              </c:numCache>
            </c:numRef>
          </c:cat>
          <c:val>
            <c:numRef>
              <c:f>'Trend graphs'!$C$25:$G$25</c:f>
              <c:numCache>
                <c:formatCode>General</c:formatCode>
                <c:ptCount val="5"/>
                <c:pt idx="0">
                  <c:v>26</c:v>
                </c:pt>
                <c:pt idx="1">
                  <c:v>38</c:v>
                </c:pt>
                <c:pt idx="2" formatCode="0">
                  <c:v>19.605150101089308</c:v>
                </c:pt>
                <c:pt idx="3" formatCode="0">
                  <c:v>24.606701794963325</c:v>
                </c:pt>
                <c:pt idx="4" formatCode="0">
                  <c:v>23.219372181251497</c:v>
                </c:pt>
              </c:numCache>
            </c:numRef>
          </c:val>
          <c:smooth val="0"/>
        </c:ser>
        <c:ser>
          <c:idx val="3"/>
          <c:order val="2"/>
          <c:tx>
            <c:strRef>
              <c:f>'Trend graphs'!$A$26</c:f>
              <c:strCache>
                <c:ptCount val="1"/>
                <c:pt idx="0">
                  <c:v>Fleece Inn, 43 Liverpool Road, Penwortham</c:v>
                </c:pt>
              </c:strCache>
            </c:strRef>
          </c:tx>
          <c:spPr>
            <a:ln w="28575" cap="rnd">
              <a:solidFill>
                <a:schemeClr val="accent4"/>
              </a:solidFill>
              <a:round/>
            </a:ln>
            <a:effectLst/>
          </c:spPr>
          <c:marker>
            <c:symbol val="none"/>
          </c:marker>
          <c:cat>
            <c:numRef>
              <c:f>'Trend graphs'!$C$23:$G$23</c:f>
              <c:numCache>
                <c:formatCode>General</c:formatCode>
                <c:ptCount val="5"/>
                <c:pt idx="0">
                  <c:v>2013</c:v>
                </c:pt>
                <c:pt idx="1">
                  <c:v>2014</c:v>
                </c:pt>
                <c:pt idx="2">
                  <c:v>2015</c:v>
                </c:pt>
                <c:pt idx="3">
                  <c:v>2016</c:v>
                </c:pt>
                <c:pt idx="4">
                  <c:v>2017</c:v>
                </c:pt>
              </c:numCache>
            </c:numRef>
          </c:cat>
          <c:val>
            <c:numRef>
              <c:f>'Trend graphs'!$C$26:$G$26</c:f>
              <c:numCache>
                <c:formatCode>General</c:formatCode>
                <c:ptCount val="5"/>
                <c:pt idx="0">
                  <c:v>32</c:v>
                </c:pt>
                <c:pt idx="1">
                  <c:v>32</c:v>
                </c:pt>
                <c:pt idx="2" formatCode="0">
                  <c:v>27.296426546777361</c:v>
                </c:pt>
                <c:pt idx="3" formatCode="0">
                  <c:v>31.065821454871823</c:v>
                </c:pt>
                <c:pt idx="4" formatCode="0">
                  <c:v>29.018748195870099</c:v>
                </c:pt>
              </c:numCache>
            </c:numRef>
          </c:val>
          <c:smooth val="0"/>
        </c:ser>
        <c:ser>
          <c:idx val="4"/>
          <c:order val="3"/>
          <c:tx>
            <c:strRef>
              <c:f>'Trend graphs'!$A$27</c:f>
              <c:strCache>
                <c:ptCount val="1"/>
                <c:pt idx="0">
                  <c:v>Objective</c:v>
                </c:pt>
              </c:strCache>
            </c:strRef>
          </c:tx>
          <c:spPr>
            <a:ln w="28575" cap="rnd">
              <a:solidFill>
                <a:schemeClr val="accent5"/>
              </a:solidFill>
              <a:round/>
            </a:ln>
            <a:effectLst/>
          </c:spPr>
          <c:marker>
            <c:symbol val="none"/>
          </c:marker>
          <c:cat>
            <c:numRef>
              <c:f>'Trend graphs'!$C$23:$G$23</c:f>
              <c:numCache>
                <c:formatCode>General</c:formatCode>
                <c:ptCount val="5"/>
                <c:pt idx="0">
                  <c:v>2013</c:v>
                </c:pt>
                <c:pt idx="1">
                  <c:v>2014</c:v>
                </c:pt>
                <c:pt idx="2">
                  <c:v>2015</c:v>
                </c:pt>
                <c:pt idx="3">
                  <c:v>2016</c:v>
                </c:pt>
                <c:pt idx="4">
                  <c:v>2017</c:v>
                </c:pt>
              </c:numCache>
            </c:numRef>
          </c:cat>
          <c:val>
            <c:numRef>
              <c:f>'Trend graphs'!$C$27:$G$27</c:f>
              <c:numCache>
                <c:formatCode>General</c:formatCode>
                <c:ptCount val="5"/>
                <c:pt idx="0">
                  <c:v>40</c:v>
                </c:pt>
                <c:pt idx="1">
                  <c:v>40</c:v>
                </c:pt>
                <c:pt idx="2">
                  <c:v>40</c:v>
                </c:pt>
                <c:pt idx="3">
                  <c:v>40</c:v>
                </c:pt>
                <c:pt idx="4">
                  <c:v>40</c:v>
                </c:pt>
              </c:numCache>
            </c:numRef>
          </c:val>
          <c:smooth val="0"/>
        </c:ser>
        <c:dLbls>
          <c:showLegendKey val="0"/>
          <c:showVal val="0"/>
          <c:showCatName val="0"/>
          <c:showSerName val="0"/>
          <c:showPercent val="0"/>
          <c:showBubbleSize val="0"/>
        </c:dLbls>
        <c:smooth val="0"/>
        <c:axId val="193646112"/>
        <c:axId val="193646896"/>
      </c:lineChart>
      <c:catAx>
        <c:axId val="193646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layout>
            <c:manualLayout>
              <c:xMode val="edge"/>
              <c:yMode val="edge"/>
              <c:x val="0.33324139434532696"/>
              <c:y val="0.926313111343026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646896"/>
        <c:crosses val="autoZero"/>
        <c:auto val="1"/>
        <c:lblAlgn val="ctr"/>
        <c:lblOffset val="100"/>
        <c:noMultiLvlLbl val="0"/>
      </c:catAx>
      <c:valAx>
        <c:axId val="193646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Annual Average (</a:t>
                </a:r>
                <a:r>
                  <a:rPr lang="en-GB">
                    <a:latin typeface="Times New Roman" panose="02020603050405020304" pitchFamily="18" charset="0"/>
                    <a:cs typeface="Times New Roman" panose="02020603050405020304" pitchFamily="18" charset="0"/>
                  </a:rPr>
                  <a:t>µg/m3)</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64611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Trend Data AQMA 2, Walton-le-Dale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'Trend graphs'!$A$30</c:f>
              <c:strCache>
                <c:ptCount val="1"/>
                <c:pt idx="0">
                  <c:v>14 Victoria Road, Walton-le-Dale</c:v>
                </c:pt>
              </c:strCache>
            </c:strRef>
          </c:tx>
          <c:spPr>
            <a:ln w="28575" cap="rnd">
              <a:solidFill>
                <a:schemeClr val="accent2"/>
              </a:solidFill>
              <a:round/>
            </a:ln>
            <a:effectLst/>
          </c:spPr>
          <c:marker>
            <c:symbol val="none"/>
          </c:marker>
          <c:cat>
            <c:numRef>
              <c:f>'Trend graphs'!$C$29:$G$29</c:f>
              <c:numCache>
                <c:formatCode>General</c:formatCode>
                <c:ptCount val="5"/>
                <c:pt idx="0">
                  <c:v>2013</c:v>
                </c:pt>
                <c:pt idx="1">
                  <c:v>2014</c:v>
                </c:pt>
                <c:pt idx="2">
                  <c:v>2015</c:v>
                </c:pt>
                <c:pt idx="3">
                  <c:v>2016</c:v>
                </c:pt>
                <c:pt idx="4">
                  <c:v>2017</c:v>
                </c:pt>
              </c:numCache>
            </c:numRef>
          </c:cat>
          <c:val>
            <c:numRef>
              <c:f>'Trend graphs'!$C$30:$G$30</c:f>
              <c:numCache>
                <c:formatCode>General</c:formatCode>
                <c:ptCount val="5"/>
                <c:pt idx="0">
                  <c:v>37</c:v>
                </c:pt>
                <c:pt idx="1">
                  <c:v>36</c:v>
                </c:pt>
                <c:pt idx="2" formatCode="0">
                  <c:v>31.432335391046394</c:v>
                </c:pt>
                <c:pt idx="3" formatCode="0">
                  <c:v>36.151729134282874</c:v>
                </c:pt>
                <c:pt idx="4" formatCode="0">
                  <c:v>32.089629746032166</c:v>
                </c:pt>
              </c:numCache>
            </c:numRef>
          </c:val>
          <c:smooth val="0"/>
        </c:ser>
        <c:ser>
          <c:idx val="2"/>
          <c:order val="1"/>
          <c:tx>
            <c:strRef>
              <c:f>'Trend graphs'!$A$31</c:f>
              <c:strCache>
                <c:ptCount val="1"/>
                <c:pt idx="0">
                  <c:v>40 Victoria Road, Walton-le-Dale</c:v>
                </c:pt>
              </c:strCache>
            </c:strRef>
          </c:tx>
          <c:spPr>
            <a:ln w="28575" cap="rnd">
              <a:solidFill>
                <a:schemeClr val="accent3"/>
              </a:solidFill>
              <a:round/>
            </a:ln>
            <a:effectLst/>
          </c:spPr>
          <c:marker>
            <c:symbol val="none"/>
          </c:marker>
          <c:cat>
            <c:numRef>
              <c:f>'Trend graphs'!$C$29:$G$29</c:f>
              <c:numCache>
                <c:formatCode>General</c:formatCode>
                <c:ptCount val="5"/>
                <c:pt idx="0">
                  <c:v>2013</c:v>
                </c:pt>
                <c:pt idx="1">
                  <c:v>2014</c:v>
                </c:pt>
                <c:pt idx="2">
                  <c:v>2015</c:v>
                </c:pt>
                <c:pt idx="3">
                  <c:v>2016</c:v>
                </c:pt>
                <c:pt idx="4">
                  <c:v>2017</c:v>
                </c:pt>
              </c:numCache>
            </c:numRef>
          </c:cat>
          <c:val>
            <c:numRef>
              <c:f>'Trend graphs'!$C$31:$G$31</c:f>
              <c:numCache>
                <c:formatCode>General</c:formatCode>
                <c:ptCount val="5"/>
                <c:pt idx="0">
                  <c:v>37</c:v>
                </c:pt>
                <c:pt idx="1">
                  <c:v>36</c:v>
                </c:pt>
                <c:pt idx="2" formatCode="0">
                  <c:v>29</c:v>
                </c:pt>
                <c:pt idx="3" formatCode="0">
                  <c:v>31.6</c:v>
                </c:pt>
                <c:pt idx="4" formatCode="0">
                  <c:v>27.7</c:v>
                </c:pt>
              </c:numCache>
            </c:numRef>
          </c:val>
          <c:smooth val="0"/>
        </c:ser>
        <c:ser>
          <c:idx val="3"/>
          <c:order val="2"/>
          <c:tx>
            <c:strRef>
              <c:f>'Trend graphs'!$A$32</c:f>
              <c:strCache>
                <c:ptCount val="1"/>
                <c:pt idx="0">
                  <c:v>69 Victoria Road, Walton-le-Dale</c:v>
                </c:pt>
              </c:strCache>
            </c:strRef>
          </c:tx>
          <c:spPr>
            <a:ln w="28575" cap="rnd">
              <a:solidFill>
                <a:schemeClr val="accent4"/>
              </a:solidFill>
              <a:round/>
            </a:ln>
            <a:effectLst/>
          </c:spPr>
          <c:marker>
            <c:symbol val="none"/>
          </c:marker>
          <c:cat>
            <c:numRef>
              <c:f>'Trend graphs'!$C$29:$G$29</c:f>
              <c:numCache>
                <c:formatCode>General</c:formatCode>
                <c:ptCount val="5"/>
                <c:pt idx="0">
                  <c:v>2013</c:v>
                </c:pt>
                <c:pt idx="1">
                  <c:v>2014</c:v>
                </c:pt>
                <c:pt idx="2">
                  <c:v>2015</c:v>
                </c:pt>
                <c:pt idx="3">
                  <c:v>2016</c:v>
                </c:pt>
                <c:pt idx="4">
                  <c:v>2017</c:v>
                </c:pt>
              </c:numCache>
            </c:numRef>
          </c:cat>
          <c:val>
            <c:numRef>
              <c:f>'Trend graphs'!$C$32:$G$32</c:f>
              <c:numCache>
                <c:formatCode>General</c:formatCode>
                <c:ptCount val="5"/>
                <c:pt idx="0">
                  <c:v>35</c:v>
                </c:pt>
                <c:pt idx="1">
                  <c:v>36</c:v>
                </c:pt>
                <c:pt idx="2" formatCode="0">
                  <c:v>27.703916845560634</c:v>
                </c:pt>
                <c:pt idx="3" formatCode="0">
                  <c:v>35.833012977645843</c:v>
                </c:pt>
                <c:pt idx="4" formatCode="0">
                  <c:v>30.815296124298253</c:v>
                </c:pt>
              </c:numCache>
            </c:numRef>
          </c:val>
          <c:smooth val="0"/>
        </c:ser>
        <c:ser>
          <c:idx val="4"/>
          <c:order val="3"/>
          <c:tx>
            <c:strRef>
              <c:f>'Trend graphs'!$A$33</c:f>
              <c:strCache>
                <c:ptCount val="1"/>
                <c:pt idx="0">
                  <c:v>Objective</c:v>
                </c:pt>
              </c:strCache>
            </c:strRef>
          </c:tx>
          <c:spPr>
            <a:ln w="28575" cap="rnd">
              <a:solidFill>
                <a:schemeClr val="accent5"/>
              </a:solidFill>
              <a:round/>
            </a:ln>
            <a:effectLst/>
          </c:spPr>
          <c:marker>
            <c:symbol val="none"/>
          </c:marker>
          <c:cat>
            <c:numRef>
              <c:f>'Trend graphs'!$C$29:$G$29</c:f>
              <c:numCache>
                <c:formatCode>General</c:formatCode>
                <c:ptCount val="5"/>
                <c:pt idx="0">
                  <c:v>2013</c:v>
                </c:pt>
                <c:pt idx="1">
                  <c:v>2014</c:v>
                </c:pt>
                <c:pt idx="2">
                  <c:v>2015</c:v>
                </c:pt>
                <c:pt idx="3">
                  <c:v>2016</c:v>
                </c:pt>
                <c:pt idx="4">
                  <c:v>2017</c:v>
                </c:pt>
              </c:numCache>
            </c:numRef>
          </c:cat>
          <c:val>
            <c:numRef>
              <c:f>'Trend graphs'!$C$33:$G$33</c:f>
              <c:numCache>
                <c:formatCode>General</c:formatCode>
                <c:ptCount val="5"/>
                <c:pt idx="0">
                  <c:v>40</c:v>
                </c:pt>
                <c:pt idx="1">
                  <c:v>40</c:v>
                </c:pt>
                <c:pt idx="2" formatCode="0">
                  <c:v>40</c:v>
                </c:pt>
                <c:pt idx="3" formatCode="0">
                  <c:v>40</c:v>
                </c:pt>
                <c:pt idx="4">
                  <c:v>40</c:v>
                </c:pt>
              </c:numCache>
            </c:numRef>
          </c:val>
          <c:smooth val="0"/>
        </c:ser>
        <c:dLbls>
          <c:showLegendKey val="0"/>
          <c:showVal val="0"/>
          <c:showCatName val="0"/>
          <c:showSerName val="0"/>
          <c:showPercent val="0"/>
          <c:showBubbleSize val="0"/>
        </c:dLbls>
        <c:smooth val="0"/>
        <c:axId val="193644936"/>
        <c:axId val="193647288"/>
      </c:lineChart>
      <c:catAx>
        <c:axId val="193644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647288"/>
        <c:crosses val="autoZero"/>
        <c:auto val="1"/>
        <c:lblAlgn val="ctr"/>
        <c:lblOffset val="100"/>
        <c:noMultiLvlLbl val="0"/>
      </c:catAx>
      <c:valAx>
        <c:axId val="193647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Annual Average (</a:t>
                </a:r>
                <a:r>
                  <a:rPr lang="en-GB">
                    <a:latin typeface="Times New Roman" panose="02020603050405020304" pitchFamily="18" charset="0"/>
                    <a:cs typeface="Times New Roman" panose="02020603050405020304" pitchFamily="18" charset="0"/>
                  </a:rPr>
                  <a:t>µg/m3)</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644936"/>
        <c:crosses val="autoZero"/>
        <c:crossBetween val="between"/>
      </c:valAx>
      <c:spPr>
        <a:noFill/>
        <a:ln>
          <a:noFill/>
        </a:ln>
        <a:effectLst/>
      </c:spPr>
    </c:plotArea>
    <c:legend>
      <c:legendPos val="r"/>
      <c:layout>
        <c:manualLayout>
          <c:xMode val="edge"/>
          <c:yMode val="edge"/>
          <c:x val="0.70251399838038264"/>
          <c:y val="0.33028726102821615"/>
          <c:w val="0.28548300181478431"/>
          <c:h val="0.321737253345675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Trend Data AQMA</a:t>
            </a:r>
            <a:r>
              <a:rPr lang="en-GB" baseline="0"/>
              <a:t> 3, Lostock Hall</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4"/>
          <c:order val="0"/>
          <c:tx>
            <c:strRef>
              <c:f>'Trend graphs'!$A$16</c:f>
              <c:strCache>
                <c:ptCount val="1"/>
                <c:pt idx="0">
                  <c:v>28-30 Watkin Lane, Lostock Hall</c:v>
                </c:pt>
              </c:strCache>
            </c:strRef>
          </c:tx>
          <c:spPr>
            <a:ln w="28575" cap="rnd">
              <a:solidFill>
                <a:schemeClr val="accent5"/>
              </a:solidFill>
              <a:round/>
            </a:ln>
            <a:effectLst/>
          </c:spPr>
          <c:marker>
            <c:symbol val="none"/>
          </c:marker>
          <c:cat>
            <c:numRef>
              <c:f>'Trend graphs'!$C$15:$G$15</c:f>
              <c:numCache>
                <c:formatCode>General</c:formatCode>
                <c:ptCount val="5"/>
                <c:pt idx="0">
                  <c:v>2013</c:v>
                </c:pt>
                <c:pt idx="1">
                  <c:v>2014</c:v>
                </c:pt>
                <c:pt idx="2">
                  <c:v>2015</c:v>
                </c:pt>
                <c:pt idx="3">
                  <c:v>2016</c:v>
                </c:pt>
                <c:pt idx="4" formatCode="0">
                  <c:v>2017</c:v>
                </c:pt>
              </c:numCache>
            </c:numRef>
          </c:cat>
          <c:val>
            <c:numRef>
              <c:f>'Trend graphs'!$C$16:$G$16</c:f>
              <c:numCache>
                <c:formatCode>General</c:formatCode>
                <c:ptCount val="5"/>
                <c:pt idx="0">
                  <c:v>28</c:v>
                </c:pt>
                <c:pt idx="1">
                  <c:v>28</c:v>
                </c:pt>
                <c:pt idx="2">
                  <c:v>22</c:v>
                </c:pt>
                <c:pt idx="3" formatCode="0">
                  <c:v>26.3</c:v>
                </c:pt>
                <c:pt idx="4" formatCode="0">
                  <c:v>25.7</c:v>
                </c:pt>
              </c:numCache>
            </c:numRef>
          </c:val>
          <c:smooth val="0"/>
        </c:ser>
        <c:ser>
          <c:idx val="0"/>
          <c:order val="1"/>
          <c:tx>
            <c:strRef>
              <c:f>'Trend graphs'!$A$17</c:f>
              <c:strCache>
                <c:ptCount val="1"/>
                <c:pt idx="0">
                  <c:v>Spar, Watkin Lane, Lostock Hall</c:v>
                </c:pt>
              </c:strCache>
            </c:strRef>
          </c:tx>
          <c:spPr>
            <a:ln w="28575" cap="rnd">
              <a:solidFill>
                <a:schemeClr val="accent1"/>
              </a:solidFill>
              <a:round/>
            </a:ln>
            <a:effectLst/>
          </c:spPr>
          <c:marker>
            <c:symbol val="none"/>
          </c:marker>
          <c:cat>
            <c:numRef>
              <c:f>'Trend graphs'!$C$15:$G$15</c:f>
              <c:numCache>
                <c:formatCode>General</c:formatCode>
                <c:ptCount val="5"/>
                <c:pt idx="0">
                  <c:v>2013</c:v>
                </c:pt>
                <c:pt idx="1">
                  <c:v>2014</c:v>
                </c:pt>
                <c:pt idx="2">
                  <c:v>2015</c:v>
                </c:pt>
                <c:pt idx="3">
                  <c:v>2016</c:v>
                </c:pt>
                <c:pt idx="4" formatCode="0">
                  <c:v>2017</c:v>
                </c:pt>
              </c:numCache>
            </c:numRef>
          </c:cat>
          <c:val>
            <c:numRef>
              <c:f>'Trend graphs'!$C$17:$G$17</c:f>
              <c:numCache>
                <c:formatCode>0</c:formatCode>
                <c:ptCount val="5"/>
                <c:pt idx="0" formatCode="General">
                  <c:v>33</c:v>
                </c:pt>
                <c:pt idx="1">
                  <c:v>30</c:v>
                </c:pt>
                <c:pt idx="2">
                  <c:v>27.637493039854494</c:v>
                </c:pt>
                <c:pt idx="3">
                  <c:v>32.25169870277675</c:v>
                </c:pt>
                <c:pt idx="4">
                  <c:v>33.105088749585967</c:v>
                </c:pt>
              </c:numCache>
            </c:numRef>
          </c:val>
          <c:smooth val="0"/>
        </c:ser>
        <c:ser>
          <c:idx val="1"/>
          <c:order val="2"/>
          <c:tx>
            <c:strRef>
              <c:f>'Trend graphs'!$A$18</c:f>
              <c:strCache>
                <c:ptCount val="1"/>
                <c:pt idx="0">
                  <c:v>13 Brownedge Road, Lostock Hall</c:v>
                </c:pt>
              </c:strCache>
            </c:strRef>
          </c:tx>
          <c:spPr>
            <a:ln w="28575" cap="rnd">
              <a:solidFill>
                <a:schemeClr val="accent2"/>
              </a:solidFill>
              <a:round/>
            </a:ln>
            <a:effectLst/>
          </c:spPr>
          <c:marker>
            <c:symbol val="none"/>
          </c:marker>
          <c:cat>
            <c:numRef>
              <c:f>'Trend graphs'!$C$15:$G$15</c:f>
              <c:numCache>
                <c:formatCode>General</c:formatCode>
                <c:ptCount val="5"/>
                <c:pt idx="0">
                  <c:v>2013</c:v>
                </c:pt>
                <c:pt idx="1">
                  <c:v>2014</c:v>
                </c:pt>
                <c:pt idx="2">
                  <c:v>2015</c:v>
                </c:pt>
                <c:pt idx="3">
                  <c:v>2016</c:v>
                </c:pt>
                <c:pt idx="4" formatCode="0">
                  <c:v>2017</c:v>
                </c:pt>
              </c:numCache>
            </c:numRef>
          </c:cat>
          <c:val>
            <c:numRef>
              <c:f>'Trend graphs'!$C$18:$G$18</c:f>
              <c:numCache>
                <c:formatCode>0</c:formatCode>
                <c:ptCount val="5"/>
                <c:pt idx="0" formatCode="General">
                  <c:v>43</c:v>
                </c:pt>
                <c:pt idx="1">
                  <c:v>37</c:v>
                </c:pt>
                <c:pt idx="2">
                  <c:v>33.677319285520653</c:v>
                </c:pt>
                <c:pt idx="3">
                  <c:v>38.112985804339608</c:v>
                </c:pt>
                <c:pt idx="4">
                  <c:v>40.029796327781526</c:v>
                </c:pt>
              </c:numCache>
            </c:numRef>
          </c:val>
          <c:smooth val="0"/>
        </c:ser>
        <c:ser>
          <c:idx val="2"/>
          <c:order val="3"/>
          <c:tx>
            <c:strRef>
              <c:f>'Trend graphs'!$A$19</c:f>
              <c:strCache>
                <c:ptCount val="1"/>
                <c:pt idx="0">
                  <c:v>Tardy Gate PH, Leyland Rd, Lostock Hall</c:v>
                </c:pt>
              </c:strCache>
            </c:strRef>
          </c:tx>
          <c:spPr>
            <a:ln w="28575" cap="rnd">
              <a:solidFill>
                <a:schemeClr val="accent3"/>
              </a:solidFill>
              <a:round/>
            </a:ln>
            <a:effectLst/>
          </c:spPr>
          <c:marker>
            <c:symbol val="none"/>
          </c:marker>
          <c:cat>
            <c:numRef>
              <c:f>'Trend graphs'!$C$15:$G$15</c:f>
              <c:numCache>
                <c:formatCode>General</c:formatCode>
                <c:ptCount val="5"/>
                <c:pt idx="0">
                  <c:v>2013</c:v>
                </c:pt>
                <c:pt idx="1">
                  <c:v>2014</c:v>
                </c:pt>
                <c:pt idx="2">
                  <c:v>2015</c:v>
                </c:pt>
                <c:pt idx="3">
                  <c:v>2016</c:v>
                </c:pt>
                <c:pt idx="4" formatCode="0">
                  <c:v>2017</c:v>
                </c:pt>
              </c:numCache>
            </c:numRef>
          </c:cat>
          <c:val>
            <c:numRef>
              <c:f>'Trend graphs'!$C$19:$G$19</c:f>
              <c:numCache>
                <c:formatCode>0</c:formatCode>
                <c:ptCount val="5"/>
                <c:pt idx="0" formatCode="General">
                  <c:v>37</c:v>
                </c:pt>
                <c:pt idx="1">
                  <c:v>34.479976034051603</c:v>
                </c:pt>
                <c:pt idx="2">
                  <c:v>29.78</c:v>
                </c:pt>
                <c:pt idx="3">
                  <c:v>37.68</c:v>
                </c:pt>
                <c:pt idx="4">
                  <c:v>35.32</c:v>
                </c:pt>
              </c:numCache>
            </c:numRef>
          </c:val>
          <c:smooth val="0"/>
        </c:ser>
        <c:ser>
          <c:idx val="3"/>
          <c:order val="4"/>
          <c:tx>
            <c:strRef>
              <c:f>'Trend graphs'!$A$20</c:f>
              <c:strCache>
                <c:ptCount val="1"/>
                <c:pt idx="0">
                  <c:v>477 Leyland Road, Lostock Hall</c:v>
                </c:pt>
              </c:strCache>
            </c:strRef>
          </c:tx>
          <c:spPr>
            <a:ln w="28575" cap="rnd">
              <a:solidFill>
                <a:schemeClr val="accent4"/>
              </a:solidFill>
              <a:round/>
            </a:ln>
            <a:effectLst/>
          </c:spPr>
          <c:marker>
            <c:symbol val="none"/>
          </c:marker>
          <c:cat>
            <c:numRef>
              <c:f>'Trend graphs'!$C$15:$G$15</c:f>
              <c:numCache>
                <c:formatCode>General</c:formatCode>
                <c:ptCount val="5"/>
                <c:pt idx="0">
                  <c:v>2013</c:v>
                </c:pt>
                <c:pt idx="1">
                  <c:v>2014</c:v>
                </c:pt>
                <c:pt idx="2">
                  <c:v>2015</c:v>
                </c:pt>
                <c:pt idx="3">
                  <c:v>2016</c:v>
                </c:pt>
                <c:pt idx="4" formatCode="0">
                  <c:v>2017</c:v>
                </c:pt>
              </c:numCache>
            </c:numRef>
          </c:cat>
          <c:val>
            <c:numRef>
              <c:f>'Trend graphs'!$C$20:$G$20</c:f>
              <c:numCache>
                <c:formatCode>0</c:formatCode>
                <c:ptCount val="5"/>
                <c:pt idx="0" formatCode="General">
                  <c:v>34</c:v>
                </c:pt>
                <c:pt idx="1">
                  <c:v>34</c:v>
                </c:pt>
                <c:pt idx="2">
                  <c:v>30</c:v>
                </c:pt>
                <c:pt idx="3">
                  <c:v>32.26108000557457</c:v>
                </c:pt>
                <c:pt idx="4">
                  <c:v>27.730202807080538</c:v>
                </c:pt>
              </c:numCache>
            </c:numRef>
          </c:val>
          <c:smooth val="0"/>
        </c:ser>
        <c:ser>
          <c:idx val="5"/>
          <c:order val="5"/>
          <c:tx>
            <c:strRef>
              <c:f>'Trend graphs'!$A$21</c:f>
              <c:strCache>
                <c:ptCount val="1"/>
                <c:pt idx="0">
                  <c:v>Objective</c:v>
                </c:pt>
              </c:strCache>
            </c:strRef>
          </c:tx>
          <c:spPr>
            <a:ln w="28575" cap="rnd">
              <a:solidFill>
                <a:schemeClr val="accent6"/>
              </a:solidFill>
              <a:round/>
            </a:ln>
            <a:effectLst/>
          </c:spPr>
          <c:marker>
            <c:symbol val="none"/>
          </c:marker>
          <c:cat>
            <c:numRef>
              <c:f>'Trend graphs'!$C$15:$G$15</c:f>
              <c:numCache>
                <c:formatCode>General</c:formatCode>
                <c:ptCount val="5"/>
                <c:pt idx="0">
                  <c:v>2013</c:v>
                </c:pt>
                <c:pt idx="1">
                  <c:v>2014</c:v>
                </c:pt>
                <c:pt idx="2">
                  <c:v>2015</c:v>
                </c:pt>
                <c:pt idx="3">
                  <c:v>2016</c:v>
                </c:pt>
                <c:pt idx="4" formatCode="0">
                  <c:v>2017</c:v>
                </c:pt>
              </c:numCache>
            </c:numRef>
          </c:cat>
          <c:val>
            <c:numRef>
              <c:f>'Trend graphs'!$C$21:$G$21</c:f>
              <c:numCache>
                <c:formatCode>General</c:formatCode>
                <c:ptCount val="5"/>
                <c:pt idx="0">
                  <c:v>40</c:v>
                </c:pt>
                <c:pt idx="1">
                  <c:v>40</c:v>
                </c:pt>
                <c:pt idx="2">
                  <c:v>40</c:v>
                </c:pt>
                <c:pt idx="3">
                  <c:v>40</c:v>
                </c:pt>
                <c:pt idx="4">
                  <c:v>40</c:v>
                </c:pt>
              </c:numCache>
            </c:numRef>
          </c:val>
          <c:smooth val="0"/>
        </c:ser>
        <c:dLbls>
          <c:showLegendKey val="0"/>
          <c:showVal val="0"/>
          <c:showCatName val="0"/>
          <c:showSerName val="0"/>
          <c:showPercent val="0"/>
          <c:showBubbleSize val="0"/>
        </c:dLbls>
        <c:smooth val="0"/>
        <c:axId val="200256008"/>
        <c:axId val="200254832"/>
      </c:lineChart>
      <c:catAx>
        <c:axId val="2002560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254832"/>
        <c:crosses val="autoZero"/>
        <c:auto val="1"/>
        <c:lblAlgn val="ctr"/>
        <c:lblOffset val="100"/>
        <c:noMultiLvlLbl val="0"/>
      </c:catAx>
      <c:valAx>
        <c:axId val="200254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Annual Average (µg/m3)</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25600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Trend data AQMA 4, Bamber Bridge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4"/>
          <c:order val="0"/>
          <c:tx>
            <c:strRef>
              <c:f>'Trend graphs'!$A$37</c:f>
              <c:strCache>
                <c:ptCount val="1"/>
                <c:pt idx="0">
                  <c:v>146/Library, Station Road, Bamber Bridge</c:v>
                </c:pt>
              </c:strCache>
            </c:strRef>
          </c:tx>
          <c:spPr>
            <a:ln w="28575" cap="rnd">
              <a:solidFill>
                <a:schemeClr val="accent5"/>
              </a:solidFill>
              <a:round/>
            </a:ln>
            <a:effectLst/>
          </c:spPr>
          <c:marker>
            <c:symbol val="none"/>
          </c:marker>
          <c:cat>
            <c:numRef>
              <c:f>'Trend graphs'!$C$36:$G$36</c:f>
              <c:numCache>
                <c:formatCode>General</c:formatCode>
                <c:ptCount val="5"/>
                <c:pt idx="0">
                  <c:v>2013</c:v>
                </c:pt>
                <c:pt idx="1">
                  <c:v>2014</c:v>
                </c:pt>
                <c:pt idx="2">
                  <c:v>2015</c:v>
                </c:pt>
                <c:pt idx="3">
                  <c:v>2016</c:v>
                </c:pt>
                <c:pt idx="4">
                  <c:v>2017</c:v>
                </c:pt>
              </c:numCache>
            </c:numRef>
          </c:cat>
          <c:val>
            <c:numRef>
              <c:f>'Trend graphs'!$C$37:$G$37</c:f>
              <c:numCache>
                <c:formatCode>General</c:formatCode>
                <c:ptCount val="5"/>
                <c:pt idx="0">
                  <c:v>31</c:v>
                </c:pt>
                <c:pt idx="1">
                  <c:v>30</c:v>
                </c:pt>
                <c:pt idx="2" formatCode="0">
                  <c:v>26</c:v>
                </c:pt>
                <c:pt idx="3" formatCode="0">
                  <c:v>32.461834438741278</c:v>
                </c:pt>
                <c:pt idx="4" formatCode="0">
                  <c:v>29.193781801460545</c:v>
                </c:pt>
              </c:numCache>
            </c:numRef>
          </c:val>
          <c:smooth val="0"/>
        </c:ser>
        <c:ser>
          <c:idx val="0"/>
          <c:order val="1"/>
          <c:tx>
            <c:strRef>
              <c:f>'Trend graphs'!$A$38</c:f>
              <c:strCache>
                <c:ptCount val="1"/>
                <c:pt idx="0">
                  <c:v>243 Station Road, Bamber Bridge</c:v>
                </c:pt>
              </c:strCache>
            </c:strRef>
          </c:tx>
          <c:spPr>
            <a:ln w="28575" cap="rnd">
              <a:solidFill>
                <a:schemeClr val="accent1"/>
              </a:solidFill>
              <a:round/>
            </a:ln>
            <a:effectLst/>
          </c:spPr>
          <c:marker>
            <c:symbol val="none"/>
          </c:marker>
          <c:cat>
            <c:numRef>
              <c:f>'Trend graphs'!$C$36:$G$36</c:f>
              <c:numCache>
                <c:formatCode>General</c:formatCode>
                <c:ptCount val="5"/>
                <c:pt idx="0">
                  <c:v>2013</c:v>
                </c:pt>
                <c:pt idx="1">
                  <c:v>2014</c:v>
                </c:pt>
                <c:pt idx="2">
                  <c:v>2015</c:v>
                </c:pt>
                <c:pt idx="3">
                  <c:v>2016</c:v>
                </c:pt>
                <c:pt idx="4">
                  <c:v>2017</c:v>
                </c:pt>
              </c:numCache>
            </c:numRef>
          </c:cat>
          <c:val>
            <c:numRef>
              <c:f>'Trend graphs'!$C$38:$G$38</c:f>
              <c:numCache>
                <c:formatCode>General</c:formatCode>
                <c:ptCount val="5"/>
                <c:pt idx="0">
                  <c:v>32</c:v>
                </c:pt>
                <c:pt idx="1">
                  <c:v>29</c:v>
                </c:pt>
                <c:pt idx="2" formatCode="0">
                  <c:v>23.316980846898616</c:v>
                </c:pt>
                <c:pt idx="3" formatCode="0">
                  <c:v>30.349839942900804</c:v>
                </c:pt>
                <c:pt idx="4" formatCode="0">
                  <c:v>28.719180148005755</c:v>
                </c:pt>
              </c:numCache>
            </c:numRef>
          </c:val>
          <c:smooth val="0"/>
        </c:ser>
        <c:ser>
          <c:idx val="1"/>
          <c:order val="2"/>
          <c:tx>
            <c:strRef>
              <c:f>'Trend graphs'!$A$39</c:f>
              <c:strCache>
                <c:ptCount val="1"/>
                <c:pt idx="0">
                  <c:v>244 Station Road, Bamber Bridge</c:v>
                </c:pt>
              </c:strCache>
            </c:strRef>
          </c:tx>
          <c:spPr>
            <a:ln w="28575" cap="rnd">
              <a:solidFill>
                <a:schemeClr val="accent2"/>
              </a:solidFill>
              <a:round/>
            </a:ln>
            <a:effectLst/>
          </c:spPr>
          <c:marker>
            <c:symbol val="none"/>
          </c:marker>
          <c:cat>
            <c:numRef>
              <c:f>'Trend graphs'!$C$36:$G$36</c:f>
              <c:numCache>
                <c:formatCode>General</c:formatCode>
                <c:ptCount val="5"/>
                <c:pt idx="0">
                  <c:v>2013</c:v>
                </c:pt>
                <c:pt idx="1">
                  <c:v>2014</c:v>
                </c:pt>
                <c:pt idx="2">
                  <c:v>2015</c:v>
                </c:pt>
                <c:pt idx="3">
                  <c:v>2016</c:v>
                </c:pt>
                <c:pt idx="4">
                  <c:v>2017</c:v>
                </c:pt>
              </c:numCache>
            </c:numRef>
          </c:cat>
          <c:val>
            <c:numRef>
              <c:f>'Trend graphs'!$C$39:$G$39</c:f>
              <c:numCache>
                <c:formatCode>General</c:formatCode>
                <c:ptCount val="5"/>
                <c:pt idx="0">
                  <c:v>22</c:v>
                </c:pt>
                <c:pt idx="1">
                  <c:v>24</c:v>
                </c:pt>
                <c:pt idx="2" formatCode="0">
                  <c:v>19.144083575844554</c:v>
                </c:pt>
                <c:pt idx="3" formatCode="0">
                  <c:v>25.021609441112826</c:v>
                </c:pt>
                <c:pt idx="4" formatCode="0">
                  <c:v>24.796661730818897</c:v>
                </c:pt>
              </c:numCache>
            </c:numRef>
          </c:val>
          <c:smooth val="0"/>
        </c:ser>
        <c:ser>
          <c:idx val="2"/>
          <c:order val="3"/>
          <c:tx>
            <c:strRef>
              <c:f>'Trend graphs'!$A$40</c:f>
              <c:strCache>
                <c:ptCount val="1"/>
                <c:pt idx="0">
                  <c:v>266 Station Road, Bamber Bridge</c:v>
                </c:pt>
              </c:strCache>
            </c:strRef>
          </c:tx>
          <c:spPr>
            <a:ln w="28575" cap="rnd">
              <a:solidFill>
                <a:schemeClr val="accent3"/>
              </a:solidFill>
              <a:round/>
            </a:ln>
            <a:effectLst/>
          </c:spPr>
          <c:marker>
            <c:symbol val="none"/>
          </c:marker>
          <c:cat>
            <c:numRef>
              <c:f>'Trend graphs'!$C$36:$G$36</c:f>
              <c:numCache>
                <c:formatCode>General</c:formatCode>
                <c:ptCount val="5"/>
                <c:pt idx="0">
                  <c:v>2013</c:v>
                </c:pt>
                <c:pt idx="1">
                  <c:v>2014</c:v>
                </c:pt>
                <c:pt idx="2">
                  <c:v>2015</c:v>
                </c:pt>
                <c:pt idx="3">
                  <c:v>2016</c:v>
                </c:pt>
                <c:pt idx="4">
                  <c:v>2017</c:v>
                </c:pt>
              </c:numCache>
            </c:numRef>
          </c:cat>
          <c:val>
            <c:numRef>
              <c:f>'Trend graphs'!$C$40:$G$40</c:f>
              <c:numCache>
                <c:formatCode>General</c:formatCode>
                <c:ptCount val="5"/>
                <c:pt idx="0">
                  <c:v>29</c:v>
                </c:pt>
                <c:pt idx="1">
                  <c:v>30</c:v>
                </c:pt>
                <c:pt idx="2" formatCode="0">
                  <c:v>27</c:v>
                </c:pt>
                <c:pt idx="3" formatCode="0">
                  <c:v>28.1</c:v>
                </c:pt>
                <c:pt idx="4" formatCode="0">
                  <c:v>26.2</c:v>
                </c:pt>
              </c:numCache>
            </c:numRef>
          </c:val>
          <c:smooth val="0"/>
        </c:ser>
        <c:ser>
          <c:idx val="3"/>
          <c:order val="4"/>
          <c:tx>
            <c:strRef>
              <c:f>'Trend graphs'!$A$41</c:f>
              <c:strCache>
                <c:ptCount val="1"/>
                <c:pt idx="0">
                  <c:v>309-311 Station Road, Bamber Bridge</c:v>
                </c:pt>
              </c:strCache>
            </c:strRef>
          </c:tx>
          <c:spPr>
            <a:ln w="28575" cap="rnd">
              <a:solidFill>
                <a:schemeClr val="accent4"/>
              </a:solidFill>
              <a:round/>
            </a:ln>
            <a:effectLst/>
          </c:spPr>
          <c:marker>
            <c:symbol val="none"/>
          </c:marker>
          <c:cat>
            <c:numRef>
              <c:f>'Trend graphs'!$C$36:$G$36</c:f>
              <c:numCache>
                <c:formatCode>General</c:formatCode>
                <c:ptCount val="5"/>
                <c:pt idx="0">
                  <c:v>2013</c:v>
                </c:pt>
                <c:pt idx="1">
                  <c:v>2014</c:v>
                </c:pt>
                <c:pt idx="2">
                  <c:v>2015</c:v>
                </c:pt>
                <c:pt idx="3">
                  <c:v>2016</c:v>
                </c:pt>
                <c:pt idx="4">
                  <c:v>2017</c:v>
                </c:pt>
              </c:numCache>
            </c:numRef>
          </c:cat>
          <c:val>
            <c:numRef>
              <c:f>'Trend graphs'!$C$41:$G$41</c:f>
              <c:numCache>
                <c:formatCode>General</c:formatCode>
                <c:ptCount val="5"/>
                <c:pt idx="0">
                  <c:v>27</c:v>
                </c:pt>
                <c:pt idx="1">
                  <c:v>26</c:v>
                </c:pt>
                <c:pt idx="2" formatCode="0">
                  <c:v>22</c:v>
                </c:pt>
                <c:pt idx="3" formatCode="0">
                  <c:v>24.7</c:v>
                </c:pt>
                <c:pt idx="4" formatCode="0">
                  <c:v>22.9</c:v>
                </c:pt>
              </c:numCache>
            </c:numRef>
          </c:val>
          <c:smooth val="0"/>
        </c:ser>
        <c:ser>
          <c:idx val="5"/>
          <c:order val="5"/>
          <c:tx>
            <c:strRef>
              <c:f>'Trend graphs'!$A$42</c:f>
              <c:strCache>
                <c:ptCount val="1"/>
                <c:pt idx="0">
                  <c:v>361 Station Road, Bamber Bridge</c:v>
                </c:pt>
              </c:strCache>
            </c:strRef>
          </c:tx>
          <c:spPr>
            <a:ln w="28575" cap="rnd">
              <a:solidFill>
                <a:schemeClr val="accent6"/>
              </a:solidFill>
              <a:round/>
            </a:ln>
            <a:effectLst/>
          </c:spPr>
          <c:marker>
            <c:symbol val="none"/>
          </c:marker>
          <c:cat>
            <c:numRef>
              <c:f>'Trend graphs'!$C$36:$G$36</c:f>
              <c:numCache>
                <c:formatCode>General</c:formatCode>
                <c:ptCount val="5"/>
                <c:pt idx="0">
                  <c:v>2013</c:v>
                </c:pt>
                <c:pt idx="1">
                  <c:v>2014</c:v>
                </c:pt>
                <c:pt idx="2">
                  <c:v>2015</c:v>
                </c:pt>
                <c:pt idx="3">
                  <c:v>2016</c:v>
                </c:pt>
                <c:pt idx="4">
                  <c:v>2017</c:v>
                </c:pt>
              </c:numCache>
            </c:numRef>
          </c:cat>
          <c:val>
            <c:numRef>
              <c:f>'Trend graphs'!$C$42:$G$42</c:f>
              <c:numCache>
                <c:formatCode>General</c:formatCode>
                <c:ptCount val="5"/>
                <c:pt idx="0">
                  <c:v>34</c:v>
                </c:pt>
                <c:pt idx="1">
                  <c:v>35</c:v>
                </c:pt>
                <c:pt idx="2" formatCode="0">
                  <c:v>32.055925090804038</c:v>
                </c:pt>
                <c:pt idx="3" formatCode="0">
                  <c:v>39.900534342563724</c:v>
                </c:pt>
                <c:pt idx="4" formatCode="0">
                  <c:v>35.091079407359324</c:v>
                </c:pt>
              </c:numCache>
            </c:numRef>
          </c:val>
          <c:smooth val="0"/>
        </c:ser>
        <c:ser>
          <c:idx val="6"/>
          <c:order val="6"/>
          <c:tx>
            <c:strRef>
              <c:f>'Trend graphs'!$A$43</c:f>
              <c:strCache>
                <c:ptCount val="1"/>
                <c:pt idx="0">
                  <c:v>Objective</c:v>
                </c:pt>
              </c:strCache>
            </c:strRef>
          </c:tx>
          <c:spPr>
            <a:ln w="28575" cap="rnd">
              <a:solidFill>
                <a:schemeClr val="accent1">
                  <a:lumMod val="60000"/>
                </a:schemeClr>
              </a:solidFill>
              <a:round/>
            </a:ln>
            <a:effectLst/>
          </c:spPr>
          <c:marker>
            <c:symbol val="none"/>
          </c:marker>
          <c:cat>
            <c:numRef>
              <c:f>'Trend graphs'!$C$36:$G$36</c:f>
              <c:numCache>
                <c:formatCode>General</c:formatCode>
                <c:ptCount val="5"/>
                <c:pt idx="0">
                  <c:v>2013</c:v>
                </c:pt>
                <c:pt idx="1">
                  <c:v>2014</c:v>
                </c:pt>
                <c:pt idx="2">
                  <c:v>2015</c:v>
                </c:pt>
                <c:pt idx="3">
                  <c:v>2016</c:v>
                </c:pt>
                <c:pt idx="4">
                  <c:v>2017</c:v>
                </c:pt>
              </c:numCache>
            </c:numRef>
          </c:cat>
          <c:val>
            <c:numRef>
              <c:f>'Trend graphs'!$C$43:$G$43</c:f>
              <c:numCache>
                <c:formatCode>General</c:formatCode>
                <c:ptCount val="5"/>
                <c:pt idx="0">
                  <c:v>40</c:v>
                </c:pt>
                <c:pt idx="1">
                  <c:v>40</c:v>
                </c:pt>
                <c:pt idx="2">
                  <c:v>40</c:v>
                </c:pt>
                <c:pt idx="3">
                  <c:v>40</c:v>
                </c:pt>
                <c:pt idx="4">
                  <c:v>40</c:v>
                </c:pt>
              </c:numCache>
            </c:numRef>
          </c:val>
          <c:smooth val="0"/>
        </c:ser>
        <c:dLbls>
          <c:showLegendKey val="0"/>
          <c:showVal val="0"/>
          <c:showCatName val="0"/>
          <c:showSerName val="0"/>
          <c:showPercent val="0"/>
          <c:showBubbleSize val="0"/>
        </c:dLbls>
        <c:smooth val="0"/>
        <c:axId val="200253656"/>
        <c:axId val="200252872"/>
      </c:lineChart>
      <c:catAx>
        <c:axId val="200253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layout>
            <c:manualLayout>
              <c:xMode val="edge"/>
              <c:yMode val="edge"/>
              <c:x val="0.32461417512257429"/>
              <c:y val="0.935281724690216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252872"/>
        <c:crosses val="autoZero"/>
        <c:auto val="1"/>
        <c:lblAlgn val="ctr"/>
        <c:lblOffset val="100"/>
        <c:noMultiLvlLbl val="0"/>
      </c:catAx>
      <c:valAx>
        <c:axId val="200252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Annuasl Average (</a:t>
                </a:r>
                <a:r>
                  <a:rPr lang="en-GB">
                    <a:latin typeface="Times New Roman" panose="02020603050405020304" pitchFamily="18" charset="0"/>
                    <a:cs typeface="Times New Roman" panose="02020603050405020304" pitchFamily="18" charset="0"/>
                  </a:rPr>
                  <a:t>µg/m3)</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253656"/>
        <c:crosses val="autoZero"/>
        <c:crossBetween val="between"/>
      </c:valAx>
      <c:spPr>
        <a:noFill/>
        <a:ln>
          <a:noFill/>
        </a:ln>
        <a:effectLst/>
      </c:spPr>
    </c:plotArea>
    <c:legend>
      <c:legendPos val="r"/>
      <c:layout>
        <c:manualLayout>
          <c:xMode val="edge"/>
          <c:yMode val="edge"/>
          <c:x val="0.72617738259005815"/>
          <c:y val="0.26423173681172885"/>
          <c:w val="0.26245090539422083"/>
          <c:h val="0.530674048792507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Trend Data for AQMA 5, Leyland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'Trend graphs'!$A$3</c:f>
              <c:strCache>
                <c:ptCount val="1"/>
                <c:pt idx="0">
                  <c:v>Civic Centre, Leyland</c:v>
                </c:pt>
              </c:strCache>
            </c:strRef>
          </c:tx>
          <c:spPr>
            <a:ln w="28575" cap="rnd">
              <a:solidFill>
                <a:schemeClr val="accent1"/>
              </a:solidFill>
              <a:round/>
            </a:ln>
            <a:effectLst/>
          </c:spPr>
          <c:marker>
            <c:symbol val="none"/>
          </c:marker>
          <c:cat>
            <c:numRef>
              <c:f>'Trend graphs'!$C$2:$G$2</c:f>
              <c:numCache>
                <c:formatCode>General</c:formatCode>
                <c:ptCount val="5"/>
                <c:pt idx="0">
                  <c:v>2013</c:v>
                </c:pt>
                <c:pt idx="1">
                  <c:v>2014</c:v>
                </c:pt>
                <c:pt idx="2">
                  <c:v>2015</c:v>
                </c:pt>
                <c:pt idx="3">
                  <c:v>2016</c:v>
                </c:pt>
                <c:pt idx="4">
                  <c:v>2017</c:v>
                </c:pt>
              </c:numCache>
            </c:numRef>
          </c:cat>
          <c:val>
            <c:numRef>
              <c:f>'Trend graphs'!$C$3:$G$3</c:f>
              <c:numCache>
                <c:formatCode>General</c:formatCode>
                <c:ptCount val="5"/>
                <c:pt idx="0">
                  <c:v>16</c:v>
                </c:pt>
                <c:pt idx="1">
                  <c:v>18</c:v>
                </c:pt>
                <c:pt idx="2" formatCode="0">
                  <c:v>11.63</c:v>
                </c:pt>
                <c:pt idx="3" formatCode="0">
                  <c:v>15.3</c:v>
                </c:pt>
                <c:pt idx="4" formatCode="0">
                  <c:v>13.57</c:v>
                </c:pt>
              </c:numCache>
            </c:numRef>
          </c:val>
          <c:smooth val="0"/>
        </c:ser>
        <c:ser>
          <c:idx val="1"/>
          <c:order val="1"/>
          <c:tx>
            <c:strRef>
              <c:f>'Trend graphs'!$A$4</c:f>
              <c:strCache>
                <c:ptCount val="1"/>
                <c:pt idx="0">
                  <c:v>12 Turpin Green Lane/Charnock St, Leyland</c:v>
                </c:pt>
              </c:strCache>
            </c:strRef>
          </c:tx>
          <c:spPr>
            <a:ln w="28575" cap="rnd">
              <a:solidFill>
                <a:schemeClr val="accent2"/>
              </a:solidFill>
              <a:round/>
            </a:ln>
            <a:effectLst/>
          </c:spPr>
          <c:marker>
            <c:symbol val="none"/>
          </c:marker>
          <c:cat>
            <c:numRef>
              <c:f>'Trend graphs'!$C$2:$G$2</c:f>
              <c:numCache>
                <c:formatCode>General</c:formatCode>
                <c:ptCount val="5"/>
                <c:pt idx="0">
                  <c:v>2013</c:v>
                </c:pt>
                <c:pt idx="1">
                  <c:v>2014</c:v>
                </c:pt>
                <c:pt idx="2">
                  <c:v>2015</c:v>
                </c:pt>
                <c:pt idx="3">
                  <c:v>2016</c:v>
                </c:pt>
                <c:pt idx="4">
                  <c:v>2017</c:v>
                </c:pt>
              </c:numCache>
            </c:numRef>
          </c:cat>
          <c:val>
            <c:numRef>
              <c:f>'Trend graphs'!$C$4:$G$4</c:f>
              <c:numCache>
                <c:formatCode>General</c:formatCode>
                <c:ptCount val="5"/>
                <c:pt idx="0">
                  <c:v>29</c:v>
                </c:pt>
                <c:pt idx="1">
                  <c:v>32</c:v>
                </c:pt>
                <c:pt idx="2" formatCode="0">
                  <c:v>26.812123861237552</c:v>
                </c:pt>
                <c:pt idx="3" formatCode="0">
                  <c:v>31.727775991493061</c:v>
                </c:pt>
                <c:pt idx="4" formatCode="0">
                  <c:v>30.378376613778684</c:v>
                </c:pt>
              </c:numCache>
            </c:numRef>
          </c:val>
          <c:smooth val="0"/>
        </c:ser>
        <c:ser>
          <c:idx val="2"/>
          <c:order val="2"/>
          <c:tx>
            <c:strRef>
              <c:f>'Trend graphs'!$A$5</c:f>
              <c:strCache>
                <c:ptCount val="1"/>
                <c:pt idx="0">
                  <c:v>38 Turpin Green Lane, Leyland</c:v>
                </c:pt>
              </c:strCache>
            </c:strRef>
          </c:tx>
          <c:spPr>
            <a:ln w="28575" cap="rnd">
              <a:solidFill>
                <a:schemeClr val="accent3"/>
              </a:solidFill>
              <a:round/>
            </a:ln>
            <a:effectLst/>
          </c:spPr>
          <c:marker>
            <c:symbol val="none"/>
          </c:marker>
          <c:cat>
            <c:numRef>
              <c:f>'Trend graphs'!$C$2:$G$2</c:f>
              <c:numCache>
                <c:formatCode>General</c:formatCode>
                <c:ptCount val="5"/>
                <c:pt idx="0">
                  <c:v>2013</c:v>
                </c:pt>
                <c:pt idx="1">
                  <c:v>2014</c:v>
                </c:pt>
                <c:pt idx="2">
                  <c:v>2015</c:v>
                </c:pt>
                <c:pt idx="3">
                  <c:v>2016</c:v>
                </c:pt>
                <c:pt idx="4">
                  <c:v>2017</c:v>
                </c:pt>
              </c:numCache>
            </c:numRef>
          </c:cat>
          <c:val>
            <c:numRef>
              <c:f>'Trend graphs'!$C$5:$G$5</c:f>
              <c:numCache>
                <c:formatCode>General</c:formatCode>
                <c:ptCount val="5"/>
                <c:pt idx="0">
                  <c:v>34</c:v>
                </c:pt>
                <c:pt idx="1">
                  <c:v>33</c:v>
                </c:pt>
                <c:pt idx="2" formatCode="0">
                  <c:v>29</c:v>
                </c:pt>
                <c:pt idx="3" formatCode="0">
                  <c:v>32.262113433096324</c:v>
                </c:pt>
                <c:pt idx="4" formatCode="0">
                  <c:v>32.661840586273605</c:v>
                </c:pt>
              </c:numCache>
            </c:numRef>
          </c:val>
          <c:smooth val="0"/>
        </c:ser>
        <c:ser>
          <c:idx val="3"/>
          <c:order val="3"/>
          <c:tx>
            <c:strRef>
              <c:f>'Trend graphs'!$A$6</c:f>
              <c:strCache>
                <c:ptCount val="1"/>
                <c:pt idx="0">
                  <c:v>"Gentle Touch" 65 Turpin Green Lane, Leyland</c:v>
                </c:pt>
              </c:strCache>
            </c:strRef>
          </c:tx>
          <c:spPr>
            <a:ln w="28575" cap="rnd">
              <a:solidFill>
                <a:schemeClr val="accent4"/>
              </a:solidFill>
              <a:round/>
            </a:ln>
            <a:effectLst/>
          </c:spPr>
          <c:marker>
            <c:symbol val="none"/>
          </c:marker>
          <c:cat>
            <c:numRef>
              <c:f>'Trend graphs'!$C$2:$G$2</c:f>
              <c:numCache>
                <c:formatCode>General</c:formatCode>
                <c:ptCount val="5"/>
                <c:pt idx="0">
                  <c:v>2013</c:v>
                </c:pt>
                <c:pt idx="1">
                  <c:v>2014</c:v>
                </c:pt>
                <c:pt idx="2">
                  <c:v>2015</c:v>
                </c:pt>
                <c:pt idx="3">
                  <c:v>2016</c:v>
                </c:pt>
                <c:pt idx="4">
                  <c:v>2017</c:v>
                </c:pt>
              </c:numCache>
            </c:numRef>
          </c:cat>
          <c:val>
            <c:numRef>
              <c:f>'Trend graphs'!$C$6:$G$6</c:f>
              <c:numCache>
                <c:formatCode>General</c:formatCode>
                <c:ptCount val="5"/>
                <c:pt idx="0">
                  <c:v>37</c:v>
                </c:pt>
                <c:pt idx="1">
                  <c:v>37</c:v>
                </c:pt>
                <c:pt idx="2" formatCode="0">
                  <c:v>31.53520757018228</c:v>
                </c:pt>
                <c:pt idx="3" formatCode="0">
                  <c:v>41.450120609879754</c:v>
                </c:pt>
                <c:pt idx="4" formatCode="0">
                  <c:v>35.341295342289172</c:v>
                </c:pt>
              </c:numCache>
            </c:numRef>
          </c:val>
          <c:smooth val="0"/>
        </c:ser>
        <c:ser>
          <c:idx val="4"/>
          <c:order val="4"/>
          <c:tx>
            <c:strRef>
              <c:f>'Trend graphs'!$A$7</c:f>
              <c:strCache>
                <c:ptCount val="1"/>
                <c:pt idx="0">
                  <c:v>66 Turpin Green Lane, Leyland</c:v>
                </c:pt>
              </c:strCache>
            </c:strRef>
          </c:tx>
          <c:spPr>
            <a:ln w="28575" cap="rnd">
              <a:solidFill>
                <a:schemeClr val="accent5"/>
              </a:solidFill>
              <a:round/>
            </a:ln>
            <a:effectLst/>
          </c:spPr>
          <c:marker>
            <c:symbol val="none"/>
          </c:marker>
          <c:cat>
            <c:numRef>
              <c:f>'Trend graphs'!$C$2:$G$2</c:f>
              <c:numCache>
                <c:formatCode>General</c:formatCode>
                <c:ptCount val="5"/>
                <c:pt idx="0">
                  <c:v>2013</c:v>
                </c:pt>
                <c:pt idx="1">
                  <c:v>2014</c:v>
                </c:pt>
                <c:pt idx="2">
                  <c:v>2015</c:v>
                </c:pt>
                <c:pt idx="3">
                  <c:v>2016</c:v>
                </c:pt>
                <c:pt idx="4">
                  <c:v>2017</c:v>
                </c:pt>
              </c:numCache>
            </c:numRef>
          </c:cat>
          <c:val>
            <c:numRef>
              <c:f>'Trend graphs'!$C$7:$G$7</c:f>
              <c:numCache>
                <c:formatCode>General</c:formatCode>
                <c:ptCount val="5"/>
                <c:pt idx="0">
                  <c:v>30</c:v>
                </c:pt>
                <c:pt idx="1">
                  <c:v>28</c:v>
                </c:pt>
                <c:pt idx="2" formatCode="0">
                  <c:v>24.195425641955449</c:v>
                </c:pt>
                <c:pt idx="3" formatCode="0">
                  <c:v>28.04147247754365</c:v>
                </c:pt>
                <c:pt idx="4" formatCode="0">
                  <c:v>25.249679443141879</c:v>
                </c:pt>
              </c:numCache>
            </c:numRef>
          </c:val>
          <c:smooth val="0"/>
        </c:ser>
        <c:ser>
          <c:idx val="5"/>
          <c:order val="5"/>
          <c:tx>
            <c:strRef>
              <c:f>'Trend graphs'!$A$8</c:f>
              <c:strCache>
                <c:ptCount val="1"/>
                <c:pt idx="0">
                  <c:v>87 Turpin Green Lane, Leyland</c:v>
                </c:pt>
              </c:strCache>
            </c:strRef>
          </c:tx>
          <c:spPr>
            <a:ln w="28575" cap="rnd">
              <a:solidFill>
                <a:schemeClr val="accent6"/>
              </a:solidFill>
              <a:round/>
            </a:ln>
            <a:effectLst/>
          </c:spPr>
          <c:marker>
            <c:symbol val="none"/>
          </c:marker>
          <c:cat>
            <c:numRef>
              <c:f>'Trend graphs'!$C$2:$G$2</c:f>
              <c:numCache>
                <c:formatCode>General</c:formatCode>
                <c:ptCount val="5"/>
                <c:pt idx="0">
                  <c:v>2013</c:v>
                </c:pt>
                <c:pt idx="1">
                  <c:v>2014</c:v>
                </c:pt>
                <c:pt idx="2">
                  <c:v>2015</c:v>
                </c:pt>
                <c:pt idx="3">
                  <c:v>2016</c:v>
                </c:pt>
                <c:pt idx="4">
                  <c:v>2017</c:v>
                </c:pt>
              </c:numCache>
            </c:numRef>
          </c:cat>
          <c:val>
            <c:numRef>
              <c:f>'Trend graphs'!$C$8:$G$8</c:f>
              <c:numCache>
                <c:formatCode>General</c:formatCode>
                <c:ptCount val="5"/>
                <c:pt idx="0">
                  <c:v>36</c:v>
                </c:pt>
                <c:pt idx="1">
                  <c:v>34</c:v>
                </c:pt>
                <c:pt idx="2" formatCode="0">
                  <c:v>31.287017503055186</c:v>
                </c:pt>
                <c:pt idx="3" formatCode="0">
                  <c:v>40.812137547962919</c:v>
                </c:pt>
                <c:pt idx="4" formatCode="0">
                  <c:v>34.766886760933161</c:v>
                </c:pt>
              </c:numCache>
            </c:numRef>
          </c:val>
          <c:smooth val="0"/>
        </c:ser>
        <c:ser>
          <c:idx val="6"/>
          <c:order val="6"/>
          <c:tx>
            <c:strRef>
              <c:f>'Trend graphs'!$A$9</c:f>
              <c:strCache>
                <c:ptCount val="1"/>
                <c:pt idx="0">
                  <c:v>36 Golden Hill Lane</c:v>
                </c:pt>
              </c:strCache>
            </c:strRef>
          </c:tx>
          <c:spPr>
            <a:ln w="28575" cap="rnd">
              <a:solidFill>
                <a:schemeClr val="accent1">
                  <a:lumMod val="60000"/>
                </a:schemeClr>
              </a:solidFill>
              <a:round/>
            </a:ln>
            <a:effectLst/>
          </c:spPr>
          <c:marker>
            <c:symbol val="none"/>
          </c:marker>
          <c:cat>
            <c:numRef>
              <c:f>'Trend graphs'!$C$2:$G$2</c:f>
              <c:numCache>
                <c:formatCode>General</c:formatCode>
                <c:ptCount val="5"/>
                <c:pt idx="0">
                  <c:v>2013</c:v>
                </c:pt>
                <c:pt idx="1">
                  <c:v>2014</c:v>
                </c:pt>
                <c:pt idx="2">
                  <c:v>2015</c:v>
                </c:pt>
                <c:pt idx="3">
                  <c:v>2016</c:v>
                </c:pt>
                <c:pt idx="4">
                  <c:v>2017</c:v>
                </c:pt>
              </c:numCache>
            </c:numRef>
          </c:cat>
          <c:val>
            <c:numRef>
              <c:f>'Trend graphs'!$C$9:$G$9</c:f>
              <c:numCache>
                <c:formatCode>General</c:formatCode>
                <c:ptCount val="5"/>
                <c:pt idx="0">
                  <c:v>39</c:v>
                </c:pt>
                <c:pt idx="1">
                  <c:v>35</c:v>
                </c:pt>
                <c:pt idx="2" formatCode="0">
                  <c:v>30</c:v>
                </c:pt>
                <c:pt idx="3" formatCode="0">
                  <c:v>38.200000000000003</c:v>
                </c:pt>
                <c:pt idx="4" formatCode="0">
                  <c:v>34.74</c:v>
                </c:pt>
              </c:numCache>
            </c:numRef>
          </c:val>
          <c:smooth val="0"/>
        </c:ser>
        <c:ser>
          <c:idx val="7"/>
          <c:order val="7"/>
          <c:tx>
            <c:strRef>
              <c:f>'Trend graphs'!$A$10</c:f>
              <c:strCache>
                <c:ptCount val="1"/>
                <c:pt idx="0">
                  <c:v>130 Golden Hill Lane</c:v>
                </c:pt>
              </c:strCache>
            </c:strRef>
          </c:tx>
          <c:spPr>
            <a:ln w="28575" cap="rnd">
              <a:solidFill>
                <a:schemeClr val="accent2">
                  <a:lumMod val="60000"/>
                </a:schemeClr>
              </a:solidFill>
              <a:round/>
            </a:ln>
            <a:effectLst/>
          </c:spPr>
          <c:marker>
            <c:symbol val="none"/>
          </c:marker>
          <c:cat>
            <c:numRef>
              <c:f>'Trend graphs'!$C$2:$G$2</c:f>
              <c:numCache>
                <c:formatCode>General</c:formatCode>
                <c:ptCount val="5"/>
                <c:pt idx="0">
                  <c:v>2013</c:v>
                </c:pt>
                <c:pt idx="1">
                  <c:v>2014</c:v>
                </c:pt>
                <c:pt idx="2">
                  <c:v>2015</c:v>
                </c:pt>
                <c:pt idx="3">
                  <c:v>2016</c:v>
                </c:pt>
                <c:pt idx="4">
                  <c:v>2017</c:v>
                </c:pt>
              </c:numCache>
            </c:numRef>
          </c:cat>
          <c:val>
            <c:numRef>
              <c:f>'Trend graphs'!$C$10:$G$10</c:f>
              <c:numCache>
                <c:formatCode>General</c:formatCode>
                <c:ptCount val="5"/>
                <c:pt idx="0">
                  <c:v>36</c:v>
                </c:pt>
                <c:pt idx="1">
                  <c:v>33</c:v>
                </c:pt>
                <c:pt idx="2" formatCode="0">
                  <c:v>31</c:v>
                </c:pt>
                <c:pt idx="3" formatCode="0">
                  <c:v>38.03</c:v>
                </c:pt>
                <c:pt idx="4" formatCode="0">
                  <c:v>32.51</c:v>
                </c:pt>
              </c:numCache>
            </c:numRef>
          </c:val>
          <c:smooth val="0"/>
        </c:ser>
        <c:ser>
          <c:idx val="8"/>
          <c:order val="8"/>
          <c:tx>
            <c:strRef>
              <c:f>'Trend graphs'!$A$11</c:f>
              <c:strCache>
                <c:ptCount val="1"/>
                <c:pt idx="0">
                  <c:v>57 Leyland Lane</c:v>
                </c:pt>
              </c:strCache>
            </c:strRef>
          </c:tx>
          <c:spPr>
            <a:ln w="28575" cap="rnd">
              <a:solidFill>
                <a:schemeClr val="accent3">
                  <a:lumMod val="60000"/>
                </a:schemeClr>
              </a:solidFill>
              <a:round/>
            </a:ln>
            <a:effectLst/>
          </c:spPr>
          <c:marker>
            <c:symbol val="none"/>
          </c:marker>
          <c:cat>
            <c:numRef>
              <c:f>'Trend graphs'!$C$2:$G$2</c:f>
              <c:numCache>
                <c:formatCode>General</c:formatCode>
                <c:ptCount val="5"/>
                <c:pt idx="0">
                  <c:v>2013</c:v>
                </c:pt>
                <c:pt idx="1">
                  <c:v>2014</c:v>
                </c:pt>
                <c:pt idx="2">
                  <c:v>2015</c:v>
                </c:pt>
                <c:pt idx="3">
                  <c:v>2016</c:v>
                </c:pt>
                <c:pt idx="4">
                  <c:v>2017</c:v>
                </c:pt>
              </c:numCache>
            </c:numRef>
          </c:cat>
          <c:val>
            <c:numRef>
              <c:f>'Trend graphs'!$C$11:$G$11</c:f>
              <c:numCache>
                <c:formatCode>General</c:formatCode>
                <c:ptCount val="5"/>
                <c:pt idx="1">
                  <c:v>36</c:v>
                </c:pt>
                <c:pt idx="2" formatCode="0">
                  <c:v>21.802119586129628</c:v>
                </c:pt>
                <c:pt idx="3" formatCode="0">
                  <c:v>28.586005694842019</c:v>
                </c:pt>
                <c:pt idx="4" formatCode="0">
                  <c:v>25.087933022561018</c:v>
                </c:pt>
              </c:numCache>
            </c:numRef>
          </c:val>
          <c:smooth val="0"/>
        </c:ser>
        <c:ser>
          <c:idx val="9"/>
          <c:order val="9"/>
          <c:tx>
            <c:strRef>
              <c:f>'Trend graphs'!$A$12</c:f>
              <c:strCache>
                <c:ptCount val="1"/>
                <c:pt idx="0">
                  <c:v>The Mill, Longmeanygate</c:v>
                </c:pt>
              </c:strCache>
            </c:strRef>
          </c:tx>
          <c:spPr>
            <a:ln w="28575" cap="rnd">
              <a:solidFill>
                <a:schemeClr val="accent4">
                  <a:lumMod val="60000"/>
                </a:schemeClr>
              </a:solidFill>
              <a:round/>
            </a:ln>
            <a:effectLst/>
          </c:spPr>
          <c:marker>
            <c:symbol val="none"/>
          </c:marker>
          <c:cat>
            <c:numRef>
              <c:f>'Trend graphs'!$C$2:$G$2</c:f>
              <c:numCache>
                <c:formatCode>General</c:formatCode>
                <c:ptCount val="5"/>
                <c:pt idx="0">
                  <c:v>2013</c:v>
                </c:pt>
                <c:pt idx="1">
                  <c:v>2014</c:v>
                </c:pt>
                <c:pt idx="2">
                  <c:v>2015</c:v>
                </c:pt>
                <c:pt idx="3">
                  <c:v>2016</c:v>
                </c:pt>
                <c:pt idx="4">
                  <c:v>2017</c:v>
                </c:pt>
              </c:numCache>
            </c:numRef>
          </c:cat>
          <c:val>
            <c:numRef>
              <c:f>'Trend graphs'!$C$12:$G$12</c:f>
              <c:numCache>
                <c:formatCode>General</c:formatCode>
                <c:ptCount val="5"/>
                <c:pt idx="1">
                  <c:v>35</c:v>
                </c:pt>
                <c:pt idx="2" formatCode="0">
                  <c:v>20.36953356579491</c:v>
                </c:pt>
                <c:pt idx="3" formatCode="0">
                  <c:v>25.124924175466205</c:v>
                </c:pt>
                <c:pt idx="4" formatCode="0">
                  <c:v>23.320275031661712</c:v>
                </c:pt>
              </c:numCache>
            </c:numRef>
          </c:val>
          <c:smooth val="0"/>
        </c:ser>
        <c:ser>
          <c:idx val="10"/>
          <c:order val="10"/>
          <c:tx>
            <c:strRef>
              <c:f>'Trend graphs'!$A$13</c:f>
              <c:strCache>
                <c:ptCount val="1"/>
                <c:pt idx="0">
                  <c:v>Objective</c:v>
                </c:pt>
              </c:strCache>
            </c:strRef>
          </c:tx>
          <c:spPr>
            <a:ln w="28575" cap="rnd">
              <a:solidFill>
                <a:schemeClr val="accent5">
                  <a:lumMod val="60000"/>
                </a:schemeClr>
              </a:solidFill>
              <a:round/>
            </a:ln>
            <a:effectLst/>
          </c:spPr>
          <c:marker>
            <c:symbol val="none"/>
          </c:marker>
          <c:cat>
            <c:numRef>
              <c:f>'Trend graphs'!$C$2:$G$2</c:f>
              <c:numCache>
                <c:formatCode>General</c:formatCode>
                <c:ptCount val="5"/>
                <c:pt idx="0">
                  <c:v>2013</c:v>
                </c:pt>
                <c:pt idx="1">
                  <c:v>2014</c:v>
                </c:pt>
                <c:pt idx="2">
                  <c:v>2015</c:v>
                </c:pt>
                <c:pt idx="3">
                  <c:v>2016</c:v>
                </c:pt>
                <c:pt idx="4">
                  <c:v>2017</c:v>
                </c:pt>
              </c:numCache>
            </c:numRef>
          </c:cat>
          <c:val>
            <c:numRef>
              <c:f>'Trend graphs'!$C$13:$G$13</c:f>
              <c:numCache>
                <c:formatCode>General</c:formatCode>
                <c:ptCount val="5"/>
                <c:pt idx="0">
                  <c:v>40</c:v>
                </c:pt>
                <c:pt idx="1">
                  <c:v>40</c:v>
                </c:pt>
                <c:pt idx="2">
                  <c:v>40</c:v>
                </c:pt>
                <c:pt idx="3">
                  <c:v>40</c:v>
                </c:pt>
                <c:pt idx="4" formatCode="0">
                  <c:v>40</c:v>
                </c:pt>
              </c:numCache>
            </c:numRef>
          </c:val>
          <c:smooth val="0"/>
        </c:ser>
        <c:dLbls>
          <c:showLegendKey val="0"/>
          <c:showVal val="0"/>
          <c:showCatName val="0"/>
          <c:showSerName val="0"/>
          <c:showPercent val="0"/>
          <c:showBubbleSize val="0"/>
        </c:dLbls>
        <c:smooth val="0"/>
        <c:axId val="337961896"/>
        <c:axId val="337960720"/>
      </c:lineChart>
      <c:catAx>
        <c:axId val="337961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layout>
            <c:manualLayout>
              <c:xMode val="edge"/>
              <c:yMode val="edge"/>
              <c:x val="0.37043492600074207"/>
              <c:y val="0.932221049591681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960720"/>
        <c:crosses val="autoZero"/>
        <c:auto val="1"/>
        <c:lblAlgn val="ctr"/>
        <c:lblOffset val="100"/>
        <c:noMultiLvlLbl val="0"/>
      </c:catAx>
      <c:valAx>
        <c:axId val="337960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Annual Average (</a:t>
                </a:r>
                <a:r>
                  <a:rPr lang="en-GB" sz="1000" b="0" i="0" u="none" strike="noStrike" baseline="0">
                    <a:effectLst/>
                    <a:sym typeface="Symbol" panose="05050102010706020507" pitchFamily="18" charset="2"/>
                  </a:rPr>
                  <a:t></a:t>
                </a:r>
                <a:r>
                  <a:rPr lang="en-GB" sz="1000" b="0" i="0" u="none" strike="noStrike" baseline="0">
                    <a:effectLst/>
                  </a:rPr>
                  <a:t>g/m3)</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961896"/>
        <c:crosses val="autoZero"/>
        <c:crossBetween val="between"/>
      </c:valAx>
      <c:spPr>
        <a:noFill/>
        <a:ln>
          <a:noFill/>
        </a:ln>
        <a:effectLst/>
      </c:spPr>
    </c:plotArea>
    <c:legend>
      <c:legendPos val="r"/>
      <c:layout>
        <c:manualLayout>
          <c:xMode val="edge"/>
          <c:yMode val="edge"/>
          <c:x val="0.75866375341825731"/>
          <c:y val="0.13897491272139398"/>
          <c:w val="0.23086504239326108"/>
          <c:h val="0.554161206874429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DFFE3-85EA-478A-8C14-4FA9BC72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8</TotalTime>
  <Pages>14</Pages>
  <Words>3410</Words>
  <Characters>18667</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6</cp:revision>
  <cp:lastPrinted>2019-03-11T14:46:00Z</cp:lastPrinted>
  <dcterms:created xsi:type="dcterms:W3CDTF">2019-03-11T15:28:00Z</dcterms:created>
  <dcterms:modified xsi:type="dcterms:W3CDTF">2019-03-12T14:45:00Z</dcterms:modified>
</cp:coreProperties>
</file>